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80" w:rsidRDefault="00A0585F" w:rsidP="000B0380">
      <w:pPr>
        <w:spacing w:after="0" w:line="240" w:lineRule="auto"/>
        <w:jc w:val="center"/>
        <w:rPr>
          <w:rFonts w:ascii="Century Schoolbook" w:hAnsi="Century Schoolbook"/>
          <w:b/>
          <w:sz w:val="24"/>
          <w:szCs w:val="24"/>
        </w:rPr>
      </w:pPr>
      <w:r>
        <w:rPr>
          <w:rFonts w:ascii="Century Schoolbook" w:hAnsi="Century Schoolbook"/>
          <w:b/>
          <w:sz w:val="24"/>
          <w:szCs w:val="24"/>
        </w:rPr>
        <w:t>CITY OF BUFFALO REASSESSMENT REFLECTS STRONG ECONOMIC GROWTH WHILE ADVANCING INCLUSIVE TAX POLICIES</w:t>
      </w:r>
    </w:p>
    <w:p w:rsidR="000B0380" w:rsidRDefault="000B0380" w:rsidP="000B0380">
      <w:pPr>
        <w:spacing w:after="0" w:line="240" w:lineRule="auto"/>
        <w:jc w:val="center"/>
        <w:rPr>
          <w:rFonts w:ascii="Century Schoolbook" w:hAnsi="Century Schoolbook"/>
          <w:b/>
          <w:sz w:val="24"/>
          <w:szCs w:val="24"/>
        </w:rPr>
      </w:pPr>
    </w:p>
    <w:p w:rsidR="00B813CA" w:rsidRDefault="000B0380" w:rsidP="000B0380">
      <w:pPr>
        <w:spacing w:after="0" w:line="240" w:lineRule="auto"/>
        <w:rPr>
          <w:rFonts w:ascii="Century Schoolbook" w:hAnsi="Century Schoolbook"/>
          <w:sz w:val="24"/>
          <w:szCs w:val="24"/>
        </w:rPr>
      </w:pPr>
      <w:r>
        <w:rPr>
          <w:rFonts w:ascii="Century Schoolbook" w:hAnsi="Century Schoolbook"/>
          <w:sz w:val="24"/>
          <w:szCs w:val="24"/>
        </w:rPr>
        <w:t>The City of Buffalo’s assessment data</w:t>
      </w:r>
      <w:r w:rsidR="003E1B7F">
        <w:rPr>
          <w:rFonts w:ascii="Century Schoolbook" w:hAnsi="Century Schoolbook"/>
          <w:sz w:val="24"/>
          <w:szCs w:val="24"/>
        </w:rPr>
        <w:t xml:space="preserve"> collection has</w:t>
      </w:r>
      <w:r>
        <w:rPr>
          <w:rFonts w:ascii="Century Schoolbook" w:hAnsi="Century Schoolbook"/>
          <w:sz w:val="24"/>
          <w:szCs w:val="24"/>
        </w:rPr>
        <w:t xml:space="preserve"> demonstrate</w:t>
      </w:r>
      <w:r w:rsidR="003E1B7F">
        <w:rPr>
          <w:rFonts w:ascii="Century Schoolbook" w:hAnsi="Century Schoolbook"/>
          <w:sz w:val="24"/>
          <w:szCs w:val="24"/>
        </w:rPr>
        <w:t>d that</w:t>
      </w:r>
      <w:r>
        <w:rPr>
          <w:rFonts w:ascii="Century Schoolbook" w:hAnsi="Century Schoolbook"/>
          <w:sz w:val="24"/>
          <w:szCs w:val="24"/>
        </w:rPr>
        <w:t xml:space="preserve"> eco</w:t>
      </w:r>
      <w:r w:rsidR="00235767">
        <w:rPr>
          <w:rFonts w:ascii="Century Schoolbook" w:hAnsi="Century Schoolbook"/>
          <w:sz w:val="24"/>
          <w:szCs w:val="24"/>
        </w:rPr>
        <w:t xml:space="preserve">nomic development </w:t>
      </w:r>
      <w:r w:rsidR="003E1B7F">
        <w:rPr>
          <w:rFonts w:ascii="Century Schoolbook" w:hAnsi="Century Schoolbook"/>
          <w:sz w:val="24"/>
          <w:szCs w:val="24"/>
        </w:rPr>
        <w:t>benefits</w:t>
      </w:r>
      <w:r>
        <w:rPr>
          <w:rFonts w:ascii="Century Schoolbook" w:hAnsi="Century Schoolbook"/>
          <w:sz w:val="24"/>
          <w:szCs w:val="24"/>
        </w:rPr>
        <w:t xml:space="preserve"> every neighborhood</w:t>
      </w:r>
      <w:r w:rsidR="003E1B7F">
        <w:rPr>
          <w:rFonts w:ascii="Century Schoolbook" w:hAnsi="Century Schoolbook"/>
          <w:sz w:val="24"/>
          <w:szCs w:val="24"/>
        </w:rPr>
        <w:t xml:space="preserve"> in the City</w:t>
      </w:r>
      <w:r>
        <w:rPr>
          <w:rFonts w:ascii="Century Schoolbook" w:hAnsi="Century Schoolbook"/>
          <w:sz w:val="24"/>
          <w:szCs w:val="24"/>
        </w:rPr>
        <w:t xml:space="preserve">. Each of the City’s </w:t>
      </w:r>
      <w:r w:rsidR="003023AD">
        <w:rPr>
          <w:rFonts w:ascii="Century Schoolbook" w:hAnsi="Century Schoolbook"/>
          <w:sz w:val="24"/>
          <w:szCs w:val="24"/>
        </w:rPr>
        <w:t>7</w:t>
      </w:r>
      <w:r w:rsidR="00B813CA">
        <w:rPr>
          <w:rFonts w:ascii="Century Schoolbook" w:hAnsi="Century Schoolbook"/>
          <w:sz w:val="24"/>
          <w:szCs w:val="24"/>
        </w:rPr>
        <w:t>5 taxing districts</w:t>
      </w:r>
      <w:r w:rsidR="00930F95">
        <w:rPr>
          <w:rFonts w:ascii="Century Schoolbook" w:hAnsi="Century Schoolbook"/>
          <w:sz w:val="24"/>
          <w:szCs w:val="24"/>
        </w:rPr>
        <w:t xml:space="preserve"> saw an increase in assessed value a</w:t>
      </w:r>
      <w:r w:rsidR="003023AD">
        <w:rPr>
          <w:rFonts w:ascii="Century Schoolbook" w:hAnsi="Century Schoolbook"/>
          <w:sz w:val="24"/>
          <w:szCs w:val="24"/>
        </w:rPr>
        <w:t>nd the City’s overall taxable assessed value</w:t>
      </w:r>
      <w:r w:rsidR="00930F95">
        <w:rPr>
          <w:rFonts w:ascii="Century Schoolbook" w:hAnsi="Century Schoolbook"/>
          <w:sz w:val="24"/>
          <w:szCs w:val="24"/>
        </w:rPr>
        <w:t xml:space="preserve"> doubled from $6 billion to $12 billion. </w:t>
      </w:r>
      <w:r w:rsidR="003D30E2">
        <w:rPr>
          <w:rFonts w:ascii="Century Schoolbook" w:hAnsi="Century Schoolbook"/>
          <w:sz w:val="24"/>
          <w:szCs w:val="24"/>
        </w:rPr>
        <w:t>T</w:t>
      </w:r>
      <w:r w:rsidR="00B813CA">
        <w:rPr>
          <w:rFonts w:ascii="Century Schoolbook" w:hAnsi="Century Schoolbook"/>
          <w:sz w:val="24"/>
          <w:szCs w:val="24"/>
        </w:rPr>
        <w:t>he City’s robust housing market</w:t>
      </w:r>
      <w:r w:rsidR="003D30E2">
        <w:rPr>
          <w:rFonts w:ascii="Century Schoolbook" w:hAnsi="Century Schoolbook"/>
          <w:sz w:val="24"/>
          <w:szCs w:val="24"/>
        </w:rPr>
        <w:t xml:space="preserve"> has been a primary driver of this growth</w:t>
      </w:r>
      <w:r w:rsidR="00B813CA">
        <w:rPr>
          <w:rFonts w:ascii="Century Schoolbook" w:hAnsi="Century Schoolbook"/>
          <w:sz w:val="24"/>
          <w:szCs w:val="24"/>
        </w:rPr>
        <w:t>. According to the Buffalo Niagara Realtors Association median</w:t>
      </w:r>
      <w:r w:rsidR="003E1B7F">
        <w:rPr>
          <w:rFonts w:ascii="Century Schoolbook" w:hAnsi="Century Schoolbook"/>
          <w:sz w:val="24"/>
          <w:szCs w:val="24"/>
        </w:rPr>
        <w:t xml:space="preserve"> home</w:t>
      </w:r>
      <w:r w:rsidR="00B813CA">
        <w:rPr>
          <w:rFonts w:ascii="Century Schoolbook" w:hAnsi="Century Schoolbook"/>
          <w:sz w:val="24"/>
          <w:szCs w:val="24"/>
        </w:rPr>
        <w:t xml:space="preserve"> prices have steadily risen:</w:t>
      </w:r>
    </w:p>
    <w:p w:rsidR="00B813CA" w:rsidRDefault="00B813CA" w:rsidP="000B0380">
      <w:pPr>
        <w:spacing w:after="0" w:line="240" w:lineRule="auto"/>
        <w:rPr>
          <w:rFonts w:ascii="Century Schoolbook" w:hAnsi="Century Schoolbook"/>
          <w:sz w:val="24"/>
          <w:szCs w:val="24"/>
        </w:rPr>
      </w:pPr>
    </w:p>
    <w:p w:rsidR="0037618A" w:rsidRDefault="001E210E" w:rsidP="00B813CA">
      <w:pPr>
        <w:spacing w:after="0" w:line="240" w:lineRule="auto"/>
        <w:jc w:val="center"/>
        <w:rPr>
          <w:rFonts w:ascii="Century Schoolbook" w:hAnsi="Century Schoolbook"/>
          <w:b/>
          <w:sz w:val="24"/>
          <w:szCs w:val="24"/>
        </w:rPr>
      </w:pPr>
      <w:r>
        <w:rPr>
          <w:noProof/>
        </w:rPr>
        <w:drawing>
          <wp:inline distT="0" distB="0" distL="0" distR="0" wp14:anchorId="242EBDCC" wp14:editId="53A53E8B">
            <wp:extent cx="4257675" cy="23431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210E" w:rsidRDefault="003B1798" w:rsidP="001E210E">
      <w:pPr>
        <w:spacing w:after="0" w:line="240" w:lineRule="auto"/>
        <w:rPr>
          <w:rFonts w:ascii="Century Schoolbook" w:hAnsi="Century Schoolbook"/>
          <w:sz w:val="24"/>
          <w:szCs w:val="24"/>
        </w:rPr>
      </w:pPr>
      <w:r>
        <w:rPr>
          <w:rFonts w:ascii="Century Schoolbook" w:hAnsi="Century Schoolbook"/>
          <w:sz w:val="24"/>
          <w:szCs w:val="24"/>
        </w:rPr>
        <w:t>Several factors drove</w:t>
      </w:r>
      <w:r w:rsidR="001E210E">
        <w:rPr>
          <w:rFonts w:ascii="Century Schoolbook" w:hAnsi="Century Schoolbook"/>
          <w:sz w:val="24"/>
          <w:szCs w:val="24"/>
        </w:rPr>
        <w:t xml:space="preserve"> this increase. The Administration undertook a neighborhood revitalization plan to eliminate </w:t>
      </w:r>
      <w:r w:rsidR="0061202D">
        <w:rPr>
          <w:rFonts w:ascii="Century Schoolbook" w:hAnsi="Century Schoolbook"/>
          <w:sz w:val="24"/>
          <w:szCs w:val="24"/>
        </w:rPr>
        <w:t>dilapidated</w:t>
      </w:r>
      <w:r>
        <w:rPr>
          <w:rFonts w:ascii="Century Schoolbook" w:hAnsi="Century Schoolbook"/>
          <w:sz w:val="24"/>
          <w:szCs w:val="24"/>
        </w:rPr>
        <w:t xml:space="preserve"> housing, which demolished over 7,000 uninhabitable residential structures</w:t>
      </w:r>
      <w:r w:rsidR="001E210E">
        <w:rPr>
          <w:rFonts w:ascii="Century Schoolbook" w:hAnsi="Century Schoolbook"/>
          <w:sz w:val="24"/>
          <w:szCs w:val="24"/>
        </w:rPr>
        <w:t xml:space="preserve"> since 2006. Recently, the number of </w:t>
      </w:r>
      <w:r w:rsidR="003E1B7F">
        <w:rPr>
          <w:rFonts w:ascii="Century Schoolbook" w:hAnsi="Century Schoolbook"/>
          <w:sz w:val="24"/>
          <w:szCs w:val="24"/>
        </w:rPr>
        <w:t>demolitions have fallen, because</w:t>
      </w:r>
      <w:r w:rsidR="001E210E">
        <w:rPr>
          <w:rFonts w:ascii="Century Schoolbook" w:hAnsi="Century Schoolbook"/>
          <w:sz w:val="24"/>
          <w:szCs w:val="24"/>
        </w:rPr>
        <w:t xml:space="preserve"> there are fewer homes t</w:t>
      </w:r>
      <w:r w:rsidR="003E1B7F">
        <w:rPr>
          <w:rFonts w:ascii="Century Schoolbook" w:hAnsi="Century Schoolbook"/>
          <w:sz w:val="24"/>
          <w:szCs w:val="24"/>
        </w:rPr>
        <w:t>hat are vacant or</w:t>
      </w:r>
      <w:r w:rsidR="001E210E">
        <w:rPr>
          <w:rFonts w:ascii="Century Schoolbook" w:hAnsi="Century Schoolbook"/>
          <w:sz w:val="24"/>
          <w:szCs w:val="24"/>
        </w:rPr>
        <w:t xml:space="preserve"> beyond rehabilitation</w:t>
      </w:r>
      <w:r w:rsidR="003D30E2">
        <w:rPr>
          <w:rFonts w:ascii="Century Schoolbook" w:hAnsi="Century Schoolbook"/>
          <w:sz w:val="24"/>
          <w:szCs w:val="24"/>
        </w:rPr>
        <w:t>. This is a tangible indication of neighborhood rehabilitation</w:t>
      </w:r>
      <w:r w:rsidR="00A71CEC">
        <w:rPr>
          <w:rFonts w:ascii="Century Schoolbook" w:hAnsi="Century Schoolbook"/>
          <w:sz w:val="24"/>
          <w:szCs w:val="24"/>
        </w:rPr>
        <w:t xml:space="preserve"> an</w:t>
      </w:r>
      <w:r>
        <w:rPr>
          <w:rFonts w:ascii="Century Schoolbook" w:hAnsi="Century Schoolbook"/>
          <w:sz w:val="24"/>
          <w:szCs w:val="24"/>
        </w:rPr>
        <w:t xml:space="preserve">d </w:t>
      </w:r>
      <w:r w:rsidR="003E1B7F">
        <w:rPr>
          <w:rFonts w:ascii="Century Schoolbook" w:hAnsi="Century Schoolbook"/>
          <w:sz w:val="24"/>
          <w:szCs w:val="24"/>
        </w:rPr>
        <w:t>a revitalized</w:t>
      </w:r>
      <w:r>
        <w:rPr>
          <w:rFonts w:ascii="Century Schoolbook" w:hAnsi="Century Schoolbook"/>
          <w:sz w:val="24"/>
          <w:szCs w:val="24"/>
        </w:rPr>
        <w:t xml:space="preserve"> interest in home purchases</w:t>
      </w:r>
      <w:r w:rsidR="001E210E">
        <w:rPr>
          <w:rFonts w:ascii="Century Schoolbook" w:hAnsi="Century Schoolbook"/>
          <w:sz w:val="24"/>
          <w:szCs w:val="24"/>
        </w:rPr>
        <w:t>:</w:t>
      </w:r>
    </w:p>
    <w:p w:rsidR="001E210E" w:rsidRDefault="001E210E" w:rsidP="001E210E">
      <w:pPr>
        <w:spacing w:after="0" w:line="240" w:lineRule="auto"/>
        <w:rPr>
          <w:rFonts w:ascii="Century Schoolbook" w:hAnsi="Century Schoolbook"/>
          <w:sz w:val="24"/>
          <w:szCs w:val="24"/>
        </w:rPr>
      </w:pPr>
    </w:p>
    <w:p w:rsidR="001E210E" w:rsidRDefault="001E210E" w:rsidP="001E210E">
      <w:pPr>
        <w:spacing w:after="0" w:line="240" w:lineRule="auto"/>
        <w:jc w:val="center"/>
        <w:rPr>
          <w:rFonts w:ascii="Century Schoolbook" w:hAnsi="Century Schoolbook"/>
          <w:sz w:val="24"/>
          <w:szCs w:val="24"/>
        </w:rPr>
      </w:pPr>
      <w:r>
        <w:rPr>
          <w:rFonts w:ascii="Century Schoolbook" w:hAnsi="Century Schoolbook"/>
          <w:noProof/>
          <w:sz w:val="24"/>
          <w:szCs w:val="24"/>
        </w:rPr>
        <w:drawing>
          <wp:inline distT="0" distB="0" distL="0" distR="0" wp14:anchorId="3BF566FB">
            <wp:extent cx="4452652" cy="26765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9854" cy="2734954"/>
                    </a:xfrm>
                    <a:prstGeom prst="rect">
                      <a:avLst/>
                    </a:prstGeom>
                    <a:noFill/>
                  </pic:spPr>
                </pic:pic>
              </a:graphicData>
            </a:graphic>
          </wp:inline>
        </w:drawing>
      </w:r>
    </w:p>
    <w:p w:rsidR="001E210E" w:rsidRDefault="001E210E" w:rsidP="001E210E">
      <w:pPr>
        <w:spacing w:after="0" w:line="240" w:lineRule="auto"/>
        <w:rPr>
          <w:rFonts w:ascii="Century Schoolbook" w:hAnsi="Century Schoolbook"/>
          <w:sz w:val="24"/>
          <w:szCs w:val="24"/>
        </w:rPr>
      </w:pPr>
      <w:r>
        <w:rPr>
          <w:rFonts w:ascii="Century Schoolbook" w:hAnsi="Century Schoolbook"/>
          <w:sz w:val="24"/>
          <w:szCs w:val="24"/>
        </w:rPr>
        <w:t>Another key factor has been th</w:t>
      </w:r>
      <w:r w:rsidR="009338FD">
        <w:rPr>
          <w:rFonts w:ascii="Century Schoolbook" w:hAnsi="Century Schoolbook"/>
          <w:sz w:val="24"/>
          <w:szCs w:val="24"/>
        </w:rPr>
        <w:t>e number of homes which have been renovated. Increas</w:t>
      </w:r>
      <w:r w:rsidR="003B1798">
        <w:rPr>
          <w:rFonts w:ascii="Century Schoolbook" w:hAnsi="Century Schoolbook"/>
          <w:sz w:val="24"/>
          <w:szCs w:val="24"/>
        </w:rPr>
        <w:t>es in renovation permit revenue</w:t>
      </w:r>
      <w:r w:rsidR="003E1B7F">
        <w:rPr>
          <w:rFonts w:ascii="Century Schoolbook" w:hAnsi="Century Schoolbook"/>
          <w:sz w:val="24"/>
          <w:szCs w:val="24"/>
        </w:rPr>
        <w:t>s</w:t>
      </w:r>
      <w:r w:rsidR="009338FD">
        <w:rPr>
          <w:rFonts w:ascii="Century Schoolbook" w:hAnsi="Century Schoolbook"/>
          <w:sz w:val="24"/>
          <w:szCs w:val="24"/>
        </w:rPr>
        <w:t xml:space="preserve"> indicate that a growing number of homeowners are investing in their properties, resulting in increased home values:</w:t>
      </w:r>
    </w:p>
    <w:p w:rsidR="009338FD" w:rsidRDefault="009338FD" w:rsidP="001E210E">
      <w:pPr>
        <w:spacing w:after="0" w:line="240" w:lineRule="auto"/>
        <w:rPr>
          <w:rFonts w:ascii="Century Schoolbook" w:hAnsi="Century Schoolbook"/>
          <w:sz w:val="24"/>
          <w:szCs w:val="24"/>
        </w:rPr>
      </w:pPr>
    </w:p>
    <w:p w:rsidR="009338FD" w:rsidRDefault="009338FD" w:rsidP="009338FD">
      <w:pPr>
        <w:spacing w:after="0" w:line="240" w:lineRule="auto"/>
        <w:jc w:val="center"/>
        <w:rPr>
          <w:rFonts w:ascii="Century Schoolbook" w:hAnsi="Century Schoolbook"/>
          <w:sz w:val="24"/>
          <w:szCs w:val="24"/>
        </w:rPr>
      </w:pPr>
      <w:r>
        <w:rPr>
          <w:rFonts w:ascii="Century Schoolbook" w:hAnsi="Century Schoolbook"/>
          <w:noProof/>
          <w:sz w:val="24"/>
          <w:szCs w:val="24"/>
        </w:rPr>
        <w:drawing>
          <wp:inline distT="0" distB="0" distL="0" distR="0" wp14:anchorId="3CD773C3">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338FD" w:rsidRPr="00553A51" w:rsidRDefault="009338FD" w:rsidP="009338FD">
      <w:pPr>
        <w:spacing w:after="0" w:line="240" w:lineRule="auto"/>
        <w:jc w:val="center"/>
        <w:rPr>
          <w:rFonts w:ascii="Century Schoolbook" w:hAnsi="Century Schoolbook"/>
          <w:sz w:val="16"/>
          <w:szCs w:val="16"/>
        </w:rPr>
      </w:pPr>
    </w:p>
    <w:p w:rsidR="009338FD" w:rsidRDefault="009338FD" w:rsidP="009338FD">
      <w:pPr>
        <w:spacing w:after="0" w:line="240" w:lineRule="auto"/>
        <w:rPr>
          <w:rFonts w:ascii="Century Schoolbook" w:hAnsi="Century Schoolbook"/>
          <w:sz w:val="24"/>
          <w:szCs w:val="24"/>
        </w:rPr>
      </w:pPr>
      <w:r>
        <w:rPr>
          <w:rFonts w:ascii="Century Schoolbook" w:hAnsi="Century Schoolbook"/>
          <w:sz w:val="24"/>
          <w:szCs w:val="24"/>
        </w:rPr>
        <w:t>Examples of this practice include:</w:t>
      </w:r>
    </w:p>
    <w:p w:rsidR="009338FD" w:rsidRPr="00553A51" w:rsidRDefault="009338FD" w:rsidP="009338FD">
      <w:pPr>
        <w:spacing w:after="0" w:line="240" w:lineRule="auto"/>
        <w:rPr>
          <w:rFonts w:ascii="Century Schoolbook" w:hAnsi="Century Schoolbook"/>
          <w:sz w:val="16"/>
          <w:szCs w:val="16"/>
        </w:rPr>
      </w:pPr>
    </w:p>
    <w:p w:rsidR="009338FD" w:rsidRDefault="003B1798" w:rsidP="009338FD">
      <w:pPr>
        <w:pStyle w:val="ListParagraph"/>
        <w:numPr>
          <w:ilvl w:val="0"/>
          <w:numId w:val="2"/>
        </w:numPr>
        <w:spacing w:after="0" w:line="240" w:lineRule="auto"/>
        <w:rPr>
          <w:rFonts w:ascii="Century Schoolbook" w:hAnsi="Century Schoolbook"/>
          <w:sz w:val="24"/>
          <w:szCs w:val="24"/>
        </w:rPr>
      </w:pPr>
      <w:r>
        <w:rPr>
          <w:rFonts w:ascii="Century Schoolbook" w:hAnsi="Century Schoolbook"/>
          <w:sz w:val="24"/>
          <w:szCs w:val="24"/>
        </w:rPr>
        <w:t>A house on</w:t>
      </w:r>
      <w:r w:rsidR="00A71CEC">
        <w:rPr>
          <w:rFonts w:ascii="Century Schoolbook" w:hAnsi="Century Schoolbook"/>
          <w:sz w:val="24"/>
          <w:szCs w:val="24"/>
        </w:rPr>
        <w:t xml:space="preserve"> Fourteenth Street was a boarded-up and vacant property </w:t>
      </w:r>
      <w:r w:rsidR="003E1B7F">
        <w:rPr>
          <w:rFonts w:ascii="Century Schoolbook" w:hAnsi="Century Schoolbook"/>
          <w:sz w:val="24"/>
          <w:szCs w:val="24"/>
        </w:rPr>
        <w:t xml:space="preserve">that </w:t>
      </w:r>
      <w:r w:rsidR="00A71CEC">
        <w:rPr>
          <w:rFonts w:ascii="Century Schoolbook" w:hAnsi="Century Schoolbook"/>
          <w:sz w:val="24"/>
          <w:szCs w:val="24"/>
        </w:rPr>
        <w:t>sold for $4,000. It was rehabilitated by the new owner and now has an assessed value of $161,000. That is a 4,000% increase in value.</w:t>
      </w:r>
    </w:p>
    <w:p w:rsidR="00A71CEC" w:rsidRDefault="003B1798" w:rsidP="009338FD">
      <w:pPr>
        <w:pStyle w:val="ListParagraph"/>
        <w:numPr>
          <w:ilvl w:val="0"/>
          <w:numId w:val="2"/>
        </w:numPr>
        <w:spacing w:after="0" w:line="240" w:lineRule="auto"/>
        <w:rPr>
          <w:rFonts w:ascii="Century Schoolbook" w:hAnsi="Century Schoolbook"/>
          <w:sz w:val="24"/>
          <w:szCs w:val="24"/>
        </w:rPr>
      </w:pPr>
      <w:r>
        <w:rPr>
          <w:rFonts w:ascii="Century Schoolbook" w:hAnsi="Century Schoolbook"/>
          <w:sz w:val="24"/>
          <w:szCs w:val="24"/>
        </w:rPr>
        <w:t>A house on</w:t>
      </w:r>
      <w:r w:rsidR="00A71CEC">
        <w:rPr>
          <w:rFonts w:ascii="Century Schoolbook" w:hAnsi="Century Schoolbook"/>
          <w:sz w:val="24"/>
          <w:szCs w:val="24"/>
        </w:rPr>
        <w:t xml:space="preserve"> Seneca Street was sold for $5,172 and was rehabilitated by the new owner. It is now assessed at $150,000 which is a 2,900% increase in value.</w:t>
      </w:r>
    </w:p>
    <w:p w:rsidR="00A71CEC" w:rsidRDefault="003B1798" w:rsidP="009338FD">
      <w:pPr>
        <w:pStyle w:val="ListParagraph"/>
        <w:numPr>
          <w:ilvl w:val="0"/>
          <w:numId w:val="2"/>
        </w:numPr>
        <w:spacing w:after="0" w:line="240" w:lineRule="auto"/>
        <w:rPr>
          <w:rFonts w:ascii="Century Schoolbook" w:hAnsi="Century Schoolbook"/>
          <w:sz w:val="24"/>
          <w:szCs w:val="24"/>
        </w:rPr>
      </w:pPr>
      <w:r>
        <w:rPr>
          <w:rFonts w:ascii="Century Schoolbook" w:hAnsi="Century Schoolbook"/>
          <w:sz w:val="24"/>
          <w:szCs w:val="24"/>
        </w:rPr>
        <w:t>A house on</w:t>
      </w:r>
      <w:r w:rsidR="00A71CEC">
        <w:rPr>
          <w:rFonts w:ascii="Century Schoolbook" w:hAnsi="Century Schoolbook"/>
          <w:sz w:val="24"/>
          <w:szCs w:val="24"/>
        </w:rPr>
        <w:t xml:space="preserve"> Milnor was bought for $2,500 and was rehabilitated by the</w:t>
      </w:r>
      <w:r w:rsidR="003E1B7F">
        <w:rPr>
          <w:rFonts w:ascii="Century Schoolbook" w:hAnsi="Century Schoolbook"/>
          <w:sz w:val="24"/>
          <w:szCs w:val="24"/>
        </w:rPr>
        <w:t xml:space="preserve"> new</w:t>
      </w:r>
      <w:r w:rsidR="00A71CEC">
        <w:rPr>
          <w:rFonts w:ascii="Century Schoolbook" w:hAnsi="Century Schoolbook"/>
          <w:sz w:val="24"/>
          <w:szCs w:val="24"/>
        </w:rPr>
        <w:t xml:space="preserve"> owner. It is now assessed at $63,000 which is a 2,500% increase in value.</w:t>
      </w:r>
    </w:p>
    <w:p w:rsidR="00A71CEC" w:rsidRPr="00553A51" w:rsidRDefault="00A71CEC" w:rsidP="00A71CEC">
      <w:pPr>
        <w:spacing w:after="0" w:line="240" w:lineRule="auto"/>
        <w:rPr>
          <w:rFonts w:ascii="Century Schoolbook" w:hAnsi="Century Schoolbook"/>
          <w:sz w:val="16"/>
          <w:szCs w:val="16"/>
        </w:rPr>
      </w:pPr>
    </w:p>
    <w:p w:rsidR="00A71CEC" w:rsidRDefault="003E1B7F" w:rsidP="00A71CEC">
      <w:pPr>
        <w:spacing w:after="0" w:line="240" w:lineRule="auto"/>
        <w:rPr>
          <w:rFonts w:ascii="Century Schoolbook" w:hAnsi="Century Schoolbook"/>
          <w:sz w:val="24"/>
          <w:szCs w:val="24"/>
        </w:rPr>
      </w:pPr>
      <w:r>
        <w:rPr>
          <w:rFonts w:ascii="Century Schoolbook" w:hAnsi="Century Schoolbook"/>
          <w:sz w:val="24"/>
          <w:szCs w:val="24"/>
        </w:rPr>
        <w:t>These examples, and others,</w:t>
      </w:r>
      <w:r w:rsidR="0089260A">
        <w:rPr>
          <w:rFonts w:ascii="Century Schoolbook" w:hAnsi="Century Schoolbook"/>
          <w:sz w:val="24"/>
          <w:szCs w:val="24"/>
        </w:rPr>
        <w:t xml:space="preserve"> exacerbate the amount by which a neighborhood’s average assessment increases</w:t>
      </w:r>
      <w:r w:rsidR="001B3DC9">
        <w:rPr>
          <w:rFonts w:ascii="Century Schoolbook" w:hAnsi="Century Schoolbook"/>
          <w:sz w:val="24"/>
          <w:szCs w:val="24"/>
        </w:rPr>
        <w:t xml:space="preserve">. Removing </w:t>
      </w:r>
      <w:r>
        <w:rPr>
          <w:rFonts w:ascii="Century Schoolbook" w:hAnsi="Century Schoolbook"/>
          <w:sz w:val="24"/>
          <w:szCs w:val="24"/>
        </w:rPr>
        <w:t>these outliers</w:t>
      </w:r>
      <w:r w:rsidR="00A83B3B">
        <w:rPr>
          <w:rFonts w:ascii="Century Schoolbook" w:hAnsi="Century Schoolbook"/>
          <w:sz w:val="24"/>
          <w:szCs w:val="24"/>
        </w:rPr>
        <w:t xml:space="preserve"> from a statistical analysis of average neighborhood</w:t>
      </w:r>
      <w:r>
        <w:rPr>
          <w:rFonts w:ascii="Century Schoolbook" w:hAnsi="Century Schoolbook"/>
          <w:sz w:val="24"/>
          <w:szCs w:val="24"/>
        </w:rPr>
        <w:t xml:space="preserve"> assessment increases</w:t>
      </w:r>
      <w:r w:rsidR="00A83B3B">
        <w:rPr>
          <w:rFonts w:ascii="Century Schoolbook" w:hAnsi="Century Schoolbook"/>
          <w:sz w:val="24"/>
          <w:szCs w:val="24"/>
        </w:rPr>
        <w:t xml:space="preserve"> yield</w:t>
      </w:r>
      <w:r>
        <w:rPr>
          <w:rFonts w:ascii="Century Schoolbook" w:hAnsi="Century Schoolbook"/>
          <w:sz w:val="24"/>
          <w:szCs w:val="24"/>
        </w:rPr>
        <w:t>s</w:t>
      </w:r>
      <w:r w:rsidR="004836D8">
        <w:rPr>
          <w:rFonts w:ascii="Century Schoolbook" w:hAnsi="Century Schoolbook"/>
          <w:sz w:val="24"/>
          <w:szCs w:val="24"/>
        </w:rPr>
        <w:t xml:space="preserve"> a more accurate illustration</w:t>
      </w:r>
      <w:r w:rsidR="00A83B3B">
        <w:rPr>
          <w:rFonts w:ascii="Century Schoolbook" w:hAnsi="Century Schoolbook"/>
          <w:sz w:val="24"/>
          <w:szCs w:val="24"/>
        </w:rPr>
        <w:t xml:space="preserve"> of the average increase</w:t>
      </w:r>
      <w:r w:rsidR="004836D8">
        <w:rPr>
          <w:rFonts w:ascii="Century Schoolbook" w:hAnsi="Century Schoolbook"/>
          <w:sz w:val="24"/>
          <w:szCs w:val="24"/>
        </w:rPr>
        <w:t>s most</w:t>
      </w:r>
      <w:r w:rsidR="00A83B3B">
        <w:rPr>
          <w:rFonts w:ascii="Century Schoolbook" w:hAnsi="Century Schoolbook"/>
          <w:sz w:val="24"/>
          <w:szCs w:val="24"/>
        </w:rPr>
        <w:t xml:space="preserve"> homeowners</w:t>
      </w:r>
      <w:r w:rsidR="004836D8">
        <w:rPr>
          <w:rFonts w:ascii="Century Schoolbook" w:hAnsi="Century Schoolbook"/>
          <w:sz w:val="24"/>
          <w:szCs w:val="24"/>
        </w:rPr>
        <w:t xml:space="preserve"> have actually experienced</w:t>
      </w:r>
      <w:r w:rsidR="00A83B3B">
        <w:rPr>
          <w:rFonts w:ascii="Century Schoolbook" w:hAnsi="Century Schoolbook"/>
          <w:sz w:val="24"/>
          <w:szCs w:val="24"/>
        </w:rPr>
        <w:t>.</w:t>
      </w:r>
    </w:p>
    <w:p w:rsidR="00A83B3B" w:rsidRPr="00553A51" w:rsidRDefault="00A83B3B" w:rsidP="00A71CEC">
      <w:pPr>
        <w:spacing w:after="0" w:line="240" w:lineRule="auto"/>
        <w:rPr>
          <w:rFonts w:ascii="Century Schoolbook" w:hAnsi="Century Schoolbook"/>
          <w:sz w:val="16"/>
          <w:szCs w:val="16"/>
        </w:rPr>
      </w:pPr>
    </w:p>
    <w:p w:rsidR="005445DC" w:rsidRDefault="00ED0252" w:rsidP="00A71CEC">
      <w:pPr>
        <w:spacing w:after="0" w:line="240" w:lineRule="auto"/>
        <w:rPr>
          <w:rFonts w:ascii="Century Schoolbook" w:hAnsi="Century Schoolbook"/>
          <w:sz w:val="24"/>
          <w:szCs w:val="24"/>
        </w:rPr>
      </w:pPr>
      <w:r>
        <w:rPr>
          <w:rFonts w:ascii="Century Schoolbook" w:hAnsi="Century Schoolbook"/>
          <w:sz w:val="24"/>
          <w:szCs w:val="24"/>
        </w:rPr>
        <w:t>Home sales and construction remain stable in the City of Buffalo. According to the most recent</w:t>
      </w:r>
      <w:r w:rsidR="003D30E2">
        <w:rPr>
          <w:rFonts w:ascii="Century Schoolbook" w:hAnsi="Century Schoolbook"/>
          <w:sz w:val="24"/>
          <w:szCs w:val="24"/>
        </w:rPr>
        <w:t xml:space="preserve"> (July 2017)</w:t>
      </w:r>
      <w:r>
        <w:rPr>
          <w:rFonts w:ascii="Century Schoolbook" w:hAnsi="Century Schoolbook"/>
          <w:sz w:val="24"/>
          <w:szCs w:val="24"/>
        </w:rPr>
        <w:t xml:space="preserve"> “Comprehensive Housing Market Analysis” by the U.S.</w:t>
      </w:r>
      <w:r w:rsidR="004836D8">
        <w:rPr>
          <w:rFonts w:ascii="Century Schoolbook" w:hAnsi="Century Schoolbook"/>
          <w:sz w:val="24"/>
          <w:szCs w:val="24"/>
        </w:rPr>
        <w:t xml:space="preserve"> Department of</w:t>
      </w:r>
      <w:r>
        <w:rPr>
          <w:rFonts w:ascii="Century Schoolbook" w:hAnsi="Century Schoolbook"/>
          <w:sz w:val="24"/>
          <w:szCs w:val="24"/>
        </w:rPr>
        <w:t xml:space="preserve"> Hous</w:t>
      </w:r>
      <w:r w:rsidR="004836D8">
        <w:rPr>
          <w:rFonts w:ascii="Century Schoolbook" w:hAnsi="Century Schoolbook"/>
          <w:sz w:val="24"/>
          <w:szCs w:val="24"/>
        </w:rPr>
        <w:t>ing and Urban Development</w:t>
      </w:r>
      <w:r>
        <w:rPr>
          <w:rFonts w:ascii="Century Schoolbook" w:hAnsi="Century Schoolbook"/>
          <w:sz w:val="24"/>
          <w:szCs w:val="24"/>
        </w:rPr>
        <w:t>: “The sales housing market in the HMA is currently balanced. The estimated sales vacancy rate is 1.0 percent, down from 1.3 percent in 2010. During the next three years, demand is estimated for 3,225 homes. The 300 homes under construction and some of the estimated 25,500 other vacant units that may enter the market will satisfy a portion of the demand.”</w:t>
      </w:r>
    </w:p>
    <w:p w:rsidR="005445DC" w:rsidRPr="00553A51" w:rsidRDefault="005445DC" w:rsidP="005445DC">
      <w:pPr>
        <w:spacing w:after="0" w:line="240" w:lineRule="auto"/>
        <w:jc w:val="center"/>
        <w:rPr>
          <w:rFonts w:ascii="Century Schoolbook" w:hAnsi="Century Schoolbook"/>
          <w:sz w:val="24"/>
          <w:szCs w:val="24"/>
        </w:rPr>
      </w:pPr>
    </w:p>
    <w:p w:rsidR="005445DC" w:rsidRDefault="00235767" w:rsidP="005445DC">
      <w:pPr>
        <w:spacing w:after="0" w:line="240" w:lineRule="auto"/>
        <w:rPr>
          <w:rFonts w:ascii="Century Schoolbook" w:hAnsi="Century Schoolbook"/>
          <w:sz w:val="24"/>
          <w:szCs w:val="24"/>
        </w:rPr>
      </w:pPr>
      <w:r>
        <w:rPr>
          <w:rFonts w:ascii="Century Schoolbook" w:hAnsi="Century Schoolbook"/>
          <w:sz w:val="24"/>
          <w:szCs w:val="24"/>
        </w:rPr>
        <w:t xml:space="preserve">Since the </w:t>
      </w:r>
      <w:r w:rsidR="00812735">
        <w:rPr>
          <w:rFonts w:ascii="Century Schoolbook" w:hAnsi="Century Schoolbook"/>
          <w:sz w:val="24"/>
          <w:szCs w:val="24"/>
        </w:rPr>
        <w:t xml:space="preserve">financial </w:t>
      </w:r>
      <w:r>
        <w:rPr>
          <w:rFonts w:ascii="Century Schoolbook" w:hAnsi="Century Schoolbook"/>
          <w:sz w:val="24"/>
          <w:szCs w:val="24"/>
        </w:rPr>
        <w:t>crisis</w:t>
      </w:r>
      <w:r w:rsidR="00790E71">
        <w:rPr>
          <w:rFonts w:ascii="Century Schoolbook" w:hAnsi="Century Schoolbook"/>
          <w:sz w:val="24"/>
          <w:szCs w:val="24"/>
        </w:rPr>
        <w:t>,</w:t>
      </w:r>
      <w:r>
        <w:rPr>
          <w:rFonts w:ascii="Century Schoolbook" w:hAnsi="Century Schoolbook"/>
          <w:sz w:val="24"/>
          <w:szCs w:val="24"/>
        </w:rPr>
        <w:t xml:space="preserve"> the number of home sales</w:t>
      </w:r>
      <w:r w:rsidR="005445DC">
        <w:rPr>
          <w:rFonts w:ascii="Century Schoolbook" w:hAnsi="Century Schoolbook"/>
          <w:sz w:val="24"/>
          <w:szCs w:val="24"/>
        </w:rPr>
        <w:t xml:space="preserve"> ha</w:t>
      </w:r>
      <w:r w:rsidR="00790E71">
        <w:rPr>
          <w:rFonts w:ascii="Century Schoolbook" w:hAnsi="Century Schoolbook"/>
          <w:sz w:val="24"/>
          <w:szCs w:val="24"/>
        </w:rPr>
        <w:t>s</w:t>
      </w:r>
      <w:r w:rsidR="001519C4">
        <w:rPr>
          <w:rFonts w:ascii="Century Schoolbook" w:hAnsi="Century Schoolbook"/>
          <w:sz w:val="24"/>
          <w:szCs w:val="24"/>
        </w:rPr>
        <w:t xml:space="preserve"> become more robust, which contributed to growth</w:t>
      </w:r>
      <w:r w:rsidR="005445DC">
        <w:rPr>
          <w:rFonts w:ascii="Century Schoolbook" w:hAnsi="Century Schoolbook"/>
          <w:sz w:val="24"/>
          <w:szCs w:val="24"/>
        </w:rPr>
        <w:t xml:space="preserve"> in home</w:t>
      </w:r>
      <w:r w:rsidR="001519C4">
        <w:rPr>
          <w:rFonts w:ascii="Century Schoolbook" w:hAnsi="Century Schoolbook"/>
          <w:sz w:val="24"/>
          <w:szCs w:val="24"/>
        </w:rPr>
        <w:t xml:space="preserve"> value</w:t>
      </w:r>
      <w:r w:rsidR="005445DC">
        <w:rPr>
          <w:rFonts w:ascii="Century Schoolbook" w:hAnsi="Century Schoolbook"/>
          <w:sz w:val="24"/>
          <w:szCs w:val="24"/>
        </w:rPr>
        <w:t xml:space="preserve"> assessment</w:t>
      </w:r>
      <w:r w:rsidR="001519C4">
        <w:rPr>
          <w:rFonts w:ascii="Century Schoolbook" w:hAnsi="Century Schoolbook"/>
          <w:sz w:val="24"/>
          <w:szCs w:val="24"/>
        </w:rPr>
        <w:t>s. “Hot” housing markets put upward pressure on home values; eventually those markets “cool” and that</w:t>
      </w:r>
      <w:r w:rsidR="005445DC">
        <w:rPr>
          <w:rFonts w:ascii="Century Schoolbook" w:hAnsi="Century Schoolbook"/>
          <w:sz w:val="24"/>
          <w:szCs w:val="24"/>
        </w:rPr>
        <w:t xml:space="preserve"> may lower assessments</w:t>
      </w:r>
      <w:r w:rsidR="001519C4">
        <w:rPr>
          <w:rFonts w:ascii="Century Schoolbook" w:hAnsi="Century Schoolbook"/>
          <w:sz w:val="24"/>
          <w:szCs w:val="24"/>
        </w:rPr>
        <w:t xml:space="preserve">. Based on the HMA, Buffalo can expect a cyclical cooling of the housing market in </w:t>
      </w:r>
      <w:r w:rsidR="005445DC">
        <w:rPr>
          <w:rFonts w:ascii="Century Schoolbook" w:hAnsi="Century Schoolbook"/>
          <w:sz w:val="24"/>
          <w:szCs w:val="24"/>
        </w:rPr>
        <w:t>the next 2-3 ye</w:t>
      </w:r>
      <w:r w:rsidR="001519C4">
        <w:rPr>
          <w:rFonts w:ascii="Century Schoolbook" w:hAnsi="Century Schoolbook"/>
          <w:sz w:val="24"/>
          <w:szCs w:val="24"/>
        </w:rPr>
        <w:t>ars</w:t>
      </w:r>
      <w:r w:rsidR="004836D8">
        <w:rPr>
          <w:rFonts w:ascii="Century Schoolbook" w:hAnsi="Century Schoolbook"/>
          <w:sz w:val="24"/>
          <w:szCs w:val="24"/>
        </w:rPr>
        <w:t>. The City’s plan to update</w:t>
      </w:r>
      <w:r w:rsidR="00C95EED">
        <w:rPr>
          <w:rFonts w:ascii="Century Schoolbook" w:hAnsi="Century Schoolbook"/>
          <w:sz w:val="24"/>
          <w:szCs w:val="24"/>
        </w:rPr>
        <w:t xml:space="preserve"> assessments more frequently in response to the housing market changes will maintain the Administration’s commitment to an</w:t>
      </w:r>
      <w:r w:rsidR="005445DC">
        <w:rPr>
          <w:rFonts w:ascii="Century Schoolbook" w:hAnsi="Century Schoolbook"/>
          <w:sz w:val="24"/>
          <w:szCs w:val="24"/>
        </w:rPr>
        <w:t xml:space="preserve"> equitable assessmen</w:t>
      </w:r>
      <w:r w:rsidR="00D9579D">
        <w:rPr>
          <w:rFonts w:ascii="Century Schoolbook" w:hAnsi="Century Schoolbook"/>
          <w:sz w:val="24"/>
          <w:szCs w:val="24"/>
        </w:rPr>
        <w:t>t of City properties</w:t>
      </w:r>
      <w:r w:rsidR="005445DC">
        <w:rPr>
          <w:rFonts w:ascii="Century Schoolbook" w:hAnsi="Century Schoolbook"/>
          <w:sz w:val="24"/>
          <w:szCs w:val="24"/>
        </w:rPr>
        <w:t>.</w:t>
      </w:r>
    </w:p>
    <w:p w:rsidR="00CE3983" w:rsidRPr="00D9579D" w:rsidRDefault="00CE3983" w:rsidP="005445DC">
      <w:pPr>
        <w:spacing w:after="0" w:line="240" w:lineRule="auto"/>
        <w:rPr>
          <w:rFonts w:ascii="Century Schoolbook" w:hAnsi="Century Schoolbook"/>
          <w:sz w:val="16"/>
          <w:szCs w:val="16"/>
        </w:rPr>
      </w:pPr>
    </w:p>
    <w:p w:rsidR="00D9579D" w:rsidRDefault="00D9579D" w:rsidP="005445DC">
      <w:pPr>
        <w:spacing w:after="0" w:line="240" w:lineRule="auto"/>
        <w:rPr>
          <w:rFonts w:ascii="Century Schoolbook" w:hAnsi="Century Schoolbook"/>
          <w:sz w:val="24"/>
          <w:szCs w:val="24"/>
        </w:rPr>
      </w:pPr>
      <w:r>
        <w:rPr>
          <w:rFonts w:ascii="Century Schoolbook" w:hAnsi="Century Schoolbook"/>
          <w:sz w:val="24"/>
          <w:szCs w:val="24"/>
        </w:rPr>
        <w:t xml:space="preserve">A common concern is that the new assessments will automatically mean higher taxes. The following chart demonstrates how </w:t>
      </w:r>
      <w:r w:rsidRPr="00F127C5">
        <w:rPr>
          <w:rFonts w:ascii="Century Schoolbook" w:hAnsi="Century Schoolbook"/>
          <w:sz w:val="24"/>
          <w:szCs w:val="24"/>
          <w:highlight w:val="yellow"/>
        </w:rPr>
        <w:t>62% of property owners would not see an increase in their taxes based on the current rates even after reassessment</w:t>
      </w:r>
      <w:r>
        <w:rPr>
          <w:rFonts w:ascii="Century Schoolbook" w:hAnsi="Century Schoolbook"/>
          <w:sz w:val="24"/>
          <w:szCs w:val="24"/>
        </w:rPr>
        <w:t>.</w:t>
      </w:r>
    </w:p>
    <w:p w:rsidR="00D9579D" w:rsidRDefault="00D9579D" w:rsidP="005445DC">
      <w:pPr>
        <w:spacing w:after="0" w:line="240" w:lineRule="auto"/>
        <w:rPr>
          <w:rFonts w:ascii="Century Schoolbook" w:hAnsi="Century Schoolbook"/>
          <w:sz w:val="24"/>
          <w:szCs w:val="24"/>
        </w:rPr>
      </w:pPr>
    </w:p>
    <w:p w:rsidR="00CE3983" w:rsidRDefault="001519C4" w:rsidP="001519C4">
      <w:pPr>
        <w:spacing w:after="0" w:line="240" w:lineRule="auto"/>
        <w:jc w:val="center"/>
        <w:rPr>
          <w:rFonts w:ascii="Century Schoolbook" w:hAnsi="Century Schoolbook"/>
          <w:sz w:val="24"/>
          <w:szCs w:val="24"/>
        </w:rPr>
      </w:pPr>
      <w:r>
        <w:rPr>
          <w:rFonts w:ascii="Century Schoolbook" w:hAnsi="Century Schoolbook"/>
          <w:noProof/>
          <w:sz w:val="24"/>
          <w:szCs w:val="24"/>
        </w:rPr>
        <w:drawing>
          <wp:inline distT="0" distB="0" distL="0" distR="0" wp14:anchorId="06635285" wp14:editId="2B617A08">
            <wp:extent cx="4460730" cy="257038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8878" cy="2586606"/>
                    </a:xfrm>
                    <a:prstGeom prst="rect">
                      <a:avLst/>
                    </a:prstGeom>
                    <a:noFill/>
                  </pic:spPr>
                </pic:pic>
              </a:graphicData>
            </a:graphic>
          </wp:inline>
        </w:drawing>
      </w:r>
    </w:p>
    <w:p w:rsidR="00CE3983" w:rsidRDefault="00CE3983" w:rsidP="00CE3983">
      <w:pPr>
        <w:spacing w:after="0" w:line="240" w:lineRule="auto"/>
        <w:jc w:val="center"/>
        <w:rPr>
          <w:rFonts w:ascii="Century Schoolbook" w:hAnsi="Century Schoolbook"/>
          <w:sz w:val="24"/>
          <w:szCs w:val="24"/>
        </w:rPr>
      </w:pPr>
    </w:p>
    <w:p w:rsidR="00CE3983" w:rsidRDefault="00CE3983" w:rsidP="005445DC">
      <w:pPr>
        <w:spacing w:after="0" w:line="240" w:lineRule="auto"/>
        <w:rPr>
          <w:rFonts w:ascii="Century Schoolbook" w:hAnsi="Century Schoolbook"/>
          <w:sz w:val="24"/>
          <w:szCs w:val="24"/>
        </w:rPr>
      </w:pPr>
      <w:r w:rsidRPr="00D9579D">
        <w:rPr>
          <w:noProof/>
        </w:rPr>
        <w:drawing>
          <wp:inline distT="0" distB="0" distL="0" distR="0" wp14:anchorId="0C970E31" wp14:editId="1A0821F4">
            <wp:extent cx="5943600" cy="1780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80540"/>
                    </a:xfrm>
                    <a:prstGeom prst="rect">
                      <a:avLst/>
                    </a:prstGeom>
                    <a:noFill/>
                    <a:ln>
                      <a:noFill/>
                    </a:ln>
                  </pic:spPr>
                </pic:pic>
              </a:graphicData>
            </a:graphic>
          </wp:inline>
        </w:drawing>
      </w:r>
    </w:p>
    <w:p w:rsidR="00777F06" w:rsidRDefault="00777F06" w:rsidP="005445DC">
      <w:pPr>
        <w:spacing w:after="0" w:line="240" w:lineRule="auto"/>
        <w:rPr>
          <w:rFonts w:ascii="Century Schoolbook" w:hAnsi="Century Schoolbook"/>
          <w:sz w:val="24"/>
          <w:szCs w:val="24"/>
        </w:rPr>
      </w:pPr>
    </w:p>
    <w:p w:rsidR="00980619" w:rsidRDefault="004836D8" w:rsidP="005445DC">
      <w:pPr>
        <w:spacing w:after="0" w:line="240" w:lineRule="auto"/>
        <w:rPr>
          <w:rFonts w:ascii="Century Schoolbook" w:hAnsi="Century Schoolbook"/>
          <w:sz w:val="24"/>
          <w:szCs w:val="24"/>
        </w:rPr>
      </w:pPr>
      <w:r>
        <w:rPr>
          <w:rFonts w:ascii="Century Schoolbook" w:hAnsi="Century Schoolbook"/>
          <w:sz w:val="24"/>
          <w:szCs w:val="24"/>
        </w:rPr>
        <w:t>Another concern is</w:t>
      </w:r>
      <w:r w:rsidR="00980619">
        <w:rPr>
          <w:rFonts w:ascii="Century Schoolbook" w:hAnsi="Century Schoolbook"/>
          <w:sz w:val="24"/>
          <w:szCs w:val="24"/>
        </w:rPr>
        <w:t xml:space="preserve"> that the new assessments will adversely impact seniors and other income</w:t>
      </w:r>
      <w:r>
        <w:rPr>
          <w:rFonts w:ascii="Century Schoolbook" w:hAnsi="Century Schoolbook"/>
          <w:sz w:val="24"/>
          <w:szCs w:val="24"/>
        </w:rPr>
        <w:t>-</w:t>
      </w:r>
      <w:r w:rsidR="00980619">
        <w:rPr>
          <w:rFonts w:ascii="Century Schoolbook" w:hAnsi="Century Schoolbook"/>
          <w:sz w:val="24"/>
          <w:szCs w:val="24"/>
        </w:rPr>
        <w:t>restricted residents. According to the Census Bureau, individuals 65 and over (which is the age</w:t>
      </w:r>
      <w:r>
        <w:rPr>
          <w:rFonts w:ascii="Century Schoolbook" w:hAnsi="Century Schoolbook"/>
          <w:sz w:val="24"/>
          <w:szCs w:val="24"/>
        </w:rPr>
        <w:t xml:space="preserve"> of</w:t>
      </w:r>
      <w:r w:rsidR="00980619">
        <w:rPr>
          <w:rFonts w:ascii="Century Schoolbook" w:hAnsi="Century Schoolbook"/>
          <w:sz w:val="24"/>
          <w:szCs w:val="24"/>
        </w:rPr>
        <w:t xml:space="preserve"> eligibility for</w:t>
      </w:r>
      <w:r>
        <w:rPr>
          <w:rFonts w:ascii="Century Schoolbook" w:hAnsi="Century Schoolbook"/>
          <w:sz w:val="24"/>
          <w:szCs w:val="24"/>
        </w:rPr>
        <w:t xml:space="preserve"> the</w:t>
      </w:r>
      <w:r w:rsidR="00980619">
        <w:rPr>
          <w:rFonts w:ascii="Century Schoolbook" w:hAnsi="Century Schoolbook"/>
          <w:sz w:val="24"/>
          <w:szCs w:val="24"/>
        </w:rPr>
        <w:t xml:space="preserve"> Enhanced STAR</w:t>
      </w:r>
      <w:r>
        <w:rPr>
          <w:rFonts w:ascii="Century Schoolbook" w:hAnsi="Century Schoolbook"/>
          <w:sz w:val="24"/>
          <w:szCs w:val="24"/>
        </w:rPr>
        <w:t xml:space="preserve"> exemption</w:t>
      </w:r>
      <w:r w:rsidR="00980619">
        <w:rPr>
          <w:rFonts w:ascii="Century Schoolbook" w:hAnsi="Century Schoolbook"/>
          <w:sz w:val="24"/>
          <w:szCs w:val="24"/>
        </w:rPr>
        <w:t>) comprise 12%</w:t>
      </w:r>
      <w:r w:rsidR="00812735">
        <w:rPr>
          <w:rFonts w:ascii="Century Schoolbook" w:hAnsi="Century Schoolbook"/>
          <w:sz w:val="24"/>
          <w:szCs w:val="24"/>
        </w:rPr>
        <w:t xml:space="preserve"> (approximately 32,000)</w:t>
      </w:r>
      <w:r w:rsidR="00980619">
        <w:rPr>
          <w:rFonts w:ascii="Century Schoolbook" w:hAnsi="Century Schoolbook"/>
          <w:sz w:val="24"/>
          <w:szCs w:val="24"/>
        </w:rPr>
        <w:t xml:space="preserve"> </w:t>
      </w:r>
      <w:r>
        <w:rPr>
          <w:rFonts w:ascii="Century Schoolbook" w:hAnsi="Century Schoolbook"/>
          <w:sz w:val="24"/>
          <w:szCs w:val="24"/>
        </w:rPr>
        <w:t>of the City of Buffalo’s</w:t>
      </w:r>
      <w:r w:rsidR="00812735">
        <w:rPr>
          <w:rFonts w:ascii="Century Schoolbook" w:hAnsi="Century Schoolbook"/>
          <w:sz w:val="24"/>
          <w:szCs w:val="24"/>
        </w:rPr>
        <w:t xml:space="preserve"> population</w:t>
      </w:r>
      <w:r w:rsidR="00980619">
        <w:rPr>
          <w:rFonts w:ascii="Century Schoolbook" w:hAnsi="Century Schoolbook"/>
          <w:sz w:val="24"/>
          <w:szCs w:val="24"/>
        </w:rPr>
        <w:t>.</w:t>
      </w:r>
      <w:r w:rsidR="00120955">
        <w:rPr>
          <w:rFonts w:ascii="Century Schoolbook" w:hAnsi="Century Schoolbook"/>
          <w:sz w:val="24"/>
          <w:szCs w:val="24"/>
        </w:rPr>
        <w:t xml:space="preserve"> More than half of these residents</w:t>
      </w:r>
      <w:r w:rsidR="00980619">
        <w:rPr>
          <w:rFonts w:ascii="Century Schoolbook" w:hAnsi="Century Schoolbook"/>
          <w:sz w:val="24"/>
          <w:szCs w:val="24"/>
        </w:rPr>
        <w:t xml:space="preserve"> live in owner-occupied housing:</w:t>
      </w:r>
    </w:p>
    <w:p w:rsidR="00980619" w:rsidRDefault="00980619" w:rsidP="005445DC">
      <w:pPr>
        <w:spacing w:after="0" w:line="240" w:lineRule="auto"/>
        <w:rPr>
          <w:rFonts w:ascii="Century Schoolbook" w:hAnsi="Century Schoolbook"/>
          <w:sz w:val="24"/>
          <w:szCs w:val="24"/>
        </w:rPr>
      </w:pPr>
    </w:p>
    <w:p w:rsidR="00777F06" w:rsidRDefault="00581D69" w:rsidP="00980619">
      <w:pPr>
        <w:spacing w:after="0" w:line="240" w:lineRule="auto"/>
        <w:jc w:val="center"/>
        <w:rPr>
          <w:rFonts w:ascii="Century Schoolbook" w:hAnsi="Century Schoolbook"/>
          <w:sz w:val="24"/>
          <w:szCs w:val="24"/>
        </w:rPr>
      </w:pPr>
      <w:r>
        <w:rPr>
          <w:rFonts w:ascii="Century Schoolbook" w:hAnsi="Century Schoolbook"/>
          <w:noProof/>
          <w:sz w:val="24"/>
          <w:szCs w:val="24"/>
        </w:rPr>
        <w:drawing>
          <wp:inline distT="0" distB="0" distL="0" distR="0" wp14:anchorId="1B6C91A2">
            <wp:extent cx="3827961" cy="2301018"/>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497" cy="2327789"/>
                    </a:xfrm>
                    <a:prstGeom prst="rect">
                      <a:avLst/>
                    </a:prstGeom>
                    <a:noFill/>
                  </pic:spPr>
                </pic:pic>
              </a:graphicData>
            </a:graphic>
          </wp:inline>
        </w:drawing>
      </w:r>
    </w:p>
    <w:p w:rsidR="00980619" w:rsidRDefault="00980619" w:rsidP="00980619">
      <w:pPr>
        <w:spacing w:after="0" w:line="240" w:lineRule="auto"/>
        <w:jc w:val="center"/>
        <w:rPr>
          <w:rFonts w:ascii="Century Schoolbook" w:hAnsi="Century Schoolbook"/>
          <w:sz w:val="24"/>
          <w:szCs w:val="24"/>
        </w:rPr>
      </w:pPr>
    </w:p>
    <w:p w:rsidR="00980619" w:rsidRDefault="00812735" w:rsidP="00120955">
      <w:pPr>
        <w:spacing w:after="0" w:line="240" w:lineRule="auto"/>
        <w:rPr>
          <w:rFonts w:ascii="Century Schoolbook" w:hAnsi="Century Schoolbook"/>
          <w:sz w:val="24"/>
          <w:szCs w:val="24"/>
        </w:rPr>
      </w:pPr>
      <w:r>
        <w:rPr>
          <w:rFonts w:ascii="Century Schoolbook" w:hAnsi="Century Schoolbook"/>
          <w:sz w:val="24"/>
          <w:szCs w:val="24"/>
        </w:rPr>
        <w:t>Based on the average household</w:t>
      </w:r>
      <w:r w:rsidR="004836D8">
        <w:rPr>
          <w:rFonts w:ascii="Century Schoolbook" w:hAnsi="Century Schoolbook"/>
          <w:sz w:val="24"/>
          <w:szCs w:val="24"/>
        </w:rPr>
        <w:t xml:space="preserve"> income</w:t>
      </w:r>
      <w:r w:rsidR="00CA568D">
        <w:rPr>
          <w:rFonts w:ascii="Century Schoolbook" w:hAnsi="Century Schoolbook"/>
          <w:sz w:val="24"/>
          <w:szCs w:val="24"/>
        </w:rPr>
        <w:t xml:space="preserve"> there are approximately 6,000-7,000</w:t>
      </w:r>
      <w:r w:rsidR="004836D8">
        <w:rPr>
          <w:rFonts w:ascii="Century Schoolbook" w:hAnsi="Century Schoolbook"/>
          <w:sz w:val="24"/>
          <w:szCs w:val="24"/>
        </w:rPr>
        <w:t xml:space="preserve"> households that are eligible</w:t>
      </w:r>
      <w:r w:rsidR="00120955">
        <w:rPr>
          <w:rFonts w:ascii="Century Schoolbook" w:hAnsi="Century Schoolbook"/>
          <w:sz w:val="24"/>
          <w:szCs w:val="24"/>
        </w:rPr>
        <w:t xml:space="preserve"> for the Enhanced STAR exemption. The Enhanced STAR exemption is an age and income</w:t>
      </w:r>
      <w:r w:rsidR="004836D8">
        <w:rPr>
          <w:rFonts w:ascii="Century Schoolbook" w:hAnsi="Century Schoolbook"/>
          <w:sz w:val="24"/>
          <w:szCs w:val="24"/>
        </w:rPr>
        <w:t>-</w:t>
      </w:r>
      <w:r w:rsidR="00120955">
        <w:rPr>
          <w:rFonts w:ascii="Century Schoolbook" w:hAnsi="Century Schoolbook"/>
          <w:sz w:val="24"/>
          <w:szCs w:val="24"/>
        </w:rPr>
        <w:t>based property tax exemption which provides property tax relief to seniors based on their incomes. Today, there are 6,206 households enrolled in the Enhanced STAR program in the City of Buffalo.</w:t>
      </w:r>
      <w:r w:rsidR="00B72E93">
        <w:rPr>
          <w:rFonts w:ascii="Century Schoolbook" w:hAnsi="Century Schoolbook"/>
          <w:sz w:val="24"/>
          <w:szCs w:val="24"/>
        </w:rPr>
        <w:t xml:space="preserve"> The City is hosting</w:t>
      </w:r>
      <w:r w:rsidR="004836D8">
        <w:rPr>
          <w:rFonts w:ascii="Century Schoolbook" w:hAnsi="Century Schoolbook"/>
          <w:sz w:val="24"/>
          <w:szCs w:val="24"/>
        </w:rPr>
        <w:t xml:space="preserve"> workshops throughout the</w:t>
      </w:r>
      <w:r w:rsidR="00B72E93">
        <w:rPr>
          <w:rFonts w:ascii="Century Schoolbook" w:hAnsi="Century Schoolbook"/>
          <w:sz w:val="24"/>
          <w:szCs w:val="24"/>
        </w:rPr>
        <w:t xml:space="preserve"> City to ensure that </w:t>
      </w:r>
      <w:r w:rsidR="004836D8">
        <w:rPr>
          <w:rFonts w:ascii="Century Schoolbook" w:hAnsi="Century Schoolbook"/>
          <w:sz w:val="24"/>
          <w:szCs w:val="24"/>
        </w:rPr>
        <w:t xml:space="preserve">all </w:t>
      </w:r>
      <w:r w:rsidR="00B72E93">
        <w:rPr>
          <w:rFonts w:ascii="Century Schoolbook" w:hAnsi="Century Schoolbook"/>
          <w:sz w:val="24"/>
          <w:szCs w:val="24"/>
        </w:rPr>
        <w:t>residents who are eligi</w:t>
      </w:r>
      <w:r w:rsidR="00CA568D">
        <w:rPr>
          <w:rFonts w:ascii="Century Schoolbook" w:hAnsi="Century Schoolbook"/>
          <w:sz w:val="24"/>
          <w:szCs w:val="24"/>
        </w:rPr>
        <w:t>ble for the program are enrolled by the December deadline</w:t>
      </w:r>
      <w:r w:rsidR="00B72E93">
        <w:rPr>
          <w:rFonts w:ascii="Century Schoolbook" w:hAnsi="Century Schoolbook"/>
          <w:sz w:val="24"/>
          <w:szCs w:val="24"/>
        </w:rPr>
        <w:t>.</w:t>
      </w:r>
    </w:p>
    <w:p w:rsidR="00120955" w:rsidRDefault="00120955" w:rsidP="00120955">
      <w:pPr>
        <w:spacing w:after="0" w:line="240" w:lineRule="auto"/>
        <w:rPr>
          <w:rFonts w:ascii="Century Schoolbook" w:hAnsi="Century Schoolbook"/>
          <w:sz w:val="24"/>
          <w:szCs w:val="24"/>
        </w:rPr>
      </w:pPr>
    </w:p>
    <w:p w:rsidR="00120955" w:rsidRDefault="00B72E93" w:rsidP="00120955">
      <w:pPr>
        <w:spacing w:after="0" w:line="240" w:lineRule="auto"/>
        <w:rPr>
          <w:rFonts w:ascii="Century Schoolbook" w:hAnsi="Century Schoolbook"/>
          <w:sz w:val="24"/>
          <w:szCs w:val="24"/>
        </w:rPr>
      </w:pPr>
      <w:r>
        <w:rPr>
          <w:rFonts w:ascii="Century Schoolbook" w:hAnsi="Century Schoolbook"/>
          <w:sz w:val="24"/>
          <w:szCs w:val="24"/>
        </w:rPr>
        <w:t>Enhanced STAR is just one of 12 different exemption programs</w:t>
      </w:r>
      <w:r w:rsidR="004836D8">
        <w:rPr>
          <w:rFonts w:ascii="Century Schoolbook" w:hAnsi="Century Schoolbook"/>
          <w:sz w:val="24"/>
          <w:szCs w:val="24"/>
        </w:rPr>
        <w:t xml:space="preserve"> that</w:t>
      </w:r>
      <w:r>
        <w:rPr>
          <w:rFonts w:ascii="Century Schoolbook" w:hAnsi="Century Schoolbook"/>
          <w:sz w:val="24"/>
          <w:szCs w:val="24"/>
        </w:rPr>
        <w:t xml:space="preserve"> residents can apply for. Below </w:t>
      </w:r>
      <w:r w:rsidR="00F127C5">
        <w:rPr>
          <w:rFonts w:ascii="Century Schoolbook" w:hAnsi="Century Schoolbook"/>
          <w:sz w:val="24"/>
          <w:szCs w:val="24"/>
        </w:rPr>
        <w:t>is a breakdown of the number</w:t>
      </w:r>
      <w:r>
        <w:rPr>
          <w:rFonts w:ascii="Century Schoolbook" w:hAnsi="Century Schoolbook"/>
          <w:sz w:val="24"/>
          <w:szCs w:val="24"/>
        </w:rPr>
        <w:t xml:space="preserve"> of residents enrolled in each:</w:t>
      </w:r>
    </w:p>
    <w:p w:rsidR="00581D69" w:rsidRDefault="00581D69" w:rsidP="00120955">
      <w:pPr>
        <w:spacing w:after="0" w:line="240" w:lineRule="auto"/>
        <w:rPr>
          <w:rFonts w:ascii="Century Schoolbook" w:hAnsi="Century Schoolbook"/>
          <w:sz w:val="24"/>
          <w:szCs w:val="24"/>
        </w:rPr>
      </w:pPr>
    </w:p>
    <w:p w:rsidR="00581D69" w:rsidRDefault="00581D69" w:rsidP="00581D69">
      <w:pPr>
        <w:spacing w:after="0" w:line="240" w:lineRule="auto"/>
        <w:jc w:val="center"/>
        <w:rPr>
          <w:rFonts w:ascii="Century Schoolbook" w:hAnsi="Century Schoolbook"/>
          <w:noProof/>
          <w:sz w:val="24"/>
          <w:szCs w:val="24"/>
        </w:rPr>
      </w:pPr>
    </w:p>
    <w:p w:rsidR="007752D4" w:rsidRDefault="00FC28A5" w:rsidP="00581D69">
      <w:pPr>
        <w:spacing w:after="0" w:line="240" w:lineRule="auto"/>
        <w:jc w:val="center"/>
        <w:rPr>
          <w:rFonts w:ascii="Century Schoolbook" w:hAnsi="Century Schoolbook"/>
          <w:sz w:val="24"/>
          <w:szCs w:val="24"/>
        </w:rPr>
      </w:pPr>
      <w:r>
        <w:rPr>
          <w:rFonts w:ascii="Century Schoolbook" w:hAnsi="Century Schoolbook"/>
          <w:noProof/>
          <w:sz w:val="24"/>
          <w:szCs w:val="24"/>
        </w:rPr>
        <w:drawing>
          <wp:inline distT="0" distB="0" distL="0" distR="0" wp14:anchorId="2F37496C">
            <wp:extent cx="4038600" cy="2427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314" cy="2443092"/>
                    </a:xfrm>
                    <a:prstGeom prst="rect">
                      <a:avLst/>
                    </a:prstGeom>
                    <a:noFill/>
                  </pic:spPr>
                </pic:pic>
              </a:graphicData>
            </a:graphic>
          </wp:inline>
        </w:drawing>
      </w:r>
    </w:p>
    <w:p w:rsidR="00FC28A5" w:rsidRPr="00FC28A5" w:rsidRDefault="00FC28A5" w:rsidP="00581D69">
      <w:pPr>
        <w:spacing w:after="0" w:line="240" w:lineRule="auto"/>
        <w:jc w:val="center"/>
        <w:rPr>
          <w:rFonts w:ascii="Century Schoolbook" w:hAnsi="Century Schoolbook"/>
          <w:sz w:val="16"/>
          <w:szCs w:val="16"/>
        </w:rPr>
      </w:pPr>
    </w:p>
    <w:p w:rsidR="00B72E93" w:rsidRDefault="00411F6F" w:rsidP="00120955">
      <w:pPr>
        <w:spacing w:after="0" w:line="240" w:lineRule="auto"/>
        <w:rPr>
          <w:rFonts w:ascii="Century Schoolbook" w:hAnsi="Century Schoolbook"/>
          <w:sz w:val="16"/>
          <w:szCs w:val="16"/>
        </w:rPr>
      </w:pPr>
      <w:r>
        <w:rPr>
          <w:rFonts w:ascii="Century Schoolbook" w:hAnsi="Century Schoolbook"/>
          <w:sz w:val="16"/>
          <w:szCs w:val="16"/>
        </w:rPr>
        <w:t>Series 1 Veterans Based on Eligible Funds</w:t>
      </w:r>
      <w:r>
        <w:rPr>
          <w:rFonts w:ascii="Century Schoolbook" w:hAnsi="Century Schoolbook"/>
          <w:sz w:val="16"/>
          <w:szCs w:val="16"/>
        </w:rPr>
        <w:tab/>
      </w:r>
      <w:r>
        <w:rPr>
          <w:rFonts w:ascii="Century Schoolbook" w:hAnsi="Century Schoolbook"/>
          <w:sz w:val="16"/>
          <w:szCs w:val="16"/>
        </w:rPr>
        <w:tab/>
        <w:t>Series 2 Veterans Pro Rata</w:t>
      </w:r>
    </w:p>
    <w:p w:rsidR="00411F6F" w:rsidRDefault="00411F6F" w:rsidP="00120955">
      <w:pPr>
        <w:spacing w:after="0" w:line="240" w:lineRule="auto"/>
        <w:rPr>
          <w:rFonts w:ascii="Century Schoolbook" w:hAnsi="Century Schoolbook"/>
          <w:sz w:val="16"/>
          <w:szCs w:val="16"/>
        </w:rPr>
      </w:pPr>
      <w:r>
        <w:rPr>
          <w:rFonts w:ascii="Century Schoolbook" w:hAnsi="Century Schoolbook"/>
          <w:sz w:val="16"/>
          <w:szCs w:val="16"/>
        </w:rPr>
        <w:t>Series 3 Veterans War Period Non-Combat</w:t>
      </w:r>
      <w:r>
        <w:rPr>
          <w:rFonts w:ascii="Century Schoolbook" w:hAnsi="Century Schoolbook"/>
          <w:sz w:val="16"/>
          <w:szCs w:val="16"/>
        </w:rPr>
        <w:tab/>
      </w:r>
      <w:r>
        <w:rPr>
          <w:rFonts w:ascii="Century Schoolbook" w:hAnsi="Century Schoolbook"/>
          <w:sz w:val="16"/>
          <w:szCs w:val="16"/>
        </w:rPr>
        <w:tab/>
        <w:t>Series 4 Veterans War Period Combat</w:t>
      </w:r>
    </w:p>
    <w:p w:rsidR="00411F6F" w:rsidRDefault="00411F6F" w:rsidP="00120955">
      <w:pPr>
        <w:spacing w:after="0" w:line="240" w:lineRule="auto"/>
        <w:rPr>
          <w:rFonts w:ascii="Century Schoolbook" w:hAnsi="Century Schoolbook"/>
          <w:sz w:val="16"/>
          <w:szCs w:val="16"/>
        </w:rPr>
      </w:pPr>
      <w:r>
        <w:rPr>
          <w:rFonts w:ascii="Century Schoolbook" w:hAnsi="Century Schoolbook"/>
          <w:sz w:val="16"/>
          <w:szCs w:val="16"/>
        </w:rPr>
        <w:t>Series 5 Veterans War Period Disability</w:t>
      </w:r>
      <w:r>
        <w:rPr>
          <w:rFonts w:ascii="Century Schoolbook" w:hAnsi="Century Schoolbook"/>
          <w:sz w:val="16"/>
          <w:szCs w:val="16"/>
        </w:rPr>
        <w:tab/>
      </w:r>
      <w:r>
        <w:rPr>
          <w:rFonts w:ascii="Century Schoolbook" w:hAnsi="Century Schoolbook"/>
          <w:sz w:val="16"/>
          <w:szCs w:val="16"/>
        </w:rPr>
        <w:tab/>
        <w:t>Series 6 Veterans Cold War 15%</w:t>
      </w:r>
    </w:p>
    <w:p w:rsidR="00411F6F" w:rsidRDefault="00411F6F" w:rsidP="00120955">
      <w:pPr>
        <w:spacing w:after="0" w:line="240" w:lineRule="auto"/>
        <w:rPr>
          <w:rFonts w:ascii="Century Schoolbook" w:hAnsi="Century Schoolbook"/>
          <w:sz w:val="16"/>
          <w:szCs w:val="16"/>
        </w:rPr>
      </w:pPr>
      <w:r>
        <w:rPr>
          <w:rFonts w:ascii="Century Schoolbook" w:hAnsi="Century Schoolbook"/>
          <w:sz w:val="16"/>
          <w:szCs w:val="16"/>
        </w:rPr>
        <w:t>Series 7 Veter</w:t>
      </w:r>
      <w:r w:rsidR="00BF68CA">
        <w:rPr>
          <w:rFonts w:ascii="Century Schoolbook" w:hAnsi="Century Schoolbook"/>
          <w:sz w:val="16"/>
          <w:szCs w:val="16"/>
        </w:rPr>
        <w:t>ans Cold War Disabled</w:t>
      </w:r>
      <w:r w:rsidR="00BF68CA">
        <w:rPr>
          <w:rFonts w:ascii="Century Schoolbook" w:hAnsi="Century Schoolbook"/>
          <w:sz w:val="16"/>
          <w:szCs w:val="16"/>
        </w:rPr>
        <w:tab/>
      </w:r>
      <w:r w:rsidR="00BF68CA">
        <w:rPr>
          <w:rFonts w:ascii="Century Schoolbook" w:hAnsi="Century Schoolbook"/>
          <w:sz w:val="16"/>
          <w:szCs w:val="16"/>
        </w:rPr>
        <w:tab/>
      </w:r>
      <w:r w:rsidR="00BF68CA">
        <w:rPr>
          <w:rFonts w:ascii="Century Schoolbook" w:hAnsi="Century Schoolbook"/>
          <w:sz w:val="16"/>
          <w:szCs w:val="16"/>
        </w:rPr>
        <w:tab/>
        <w:t>Series 8</w:t>
      </w:r>
      <w:r>
        <w:rPr>
          <w:rFonts w:ascii="Century Schoolbook" w:hAnsi="Century Schoolbook"/>
          <w:sz w:val="16"/>
          <w:szCs w:val="16"/>
        </w:rPr>
        <w:t xml:space="preserve"> Persons 65 Years of Age and Over</w:t>
      </w:r>
    </w:p>
    <w:p w:rsidR="00BF68CA" w:rsidRDefault="00BF68CA" w:rsidP="00120955">
      <w:pPr>
        <w:spacing w:after="0" w:line="240" w:lineRule="auto"/>
        <w:rPr>
          <w:rFonts w:ascii="Century Schoolbook" w:hAnsi="Century Schoolbook"/>
          <w:sz w:val="16"/>
          <w:szCs w:val="16"/>
        </w:rPr>
      </w:pPr>
      <w:r>
        <w:rPr>
          <w:rFonts w:ascii="Century Schoolbook" w:hAnsi="Century Schoolbook"/>
          <w:sz w:val="16"/>
          <w:szCs w:val="16"/>
        </w:rPr>
        <w:t>Series 9 Enhanced STAR</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Series 10 Basic STAR</w:t>
      </w:r>
    </w:p>
    <w:p w:rsidR="00BF68CA" w:rsidRDefault="00BF68CA" w:rsidP="00120955">
      <w:pPr>
        <w:spacing w:after="0" w:line="240" w:lineRule="auto"/>
        <w:rPr>
          <w:rFonts w:ascii="Century Schoolbook" w:hAnsi="Century Schoolbook"/>
          <w:sz w:val="16"/>
          <w:szCs w:val="16"/>
        </w:rPr>
      </w:pPr>
      <w:r>
        <w:rPr>
          <w:rFonts w:ascii="Century Schoolbook" w:hAnsi="Century Schoolbook"/>
          <w:sz w:val="16"/>
          <w:szCs w:val="16"/>
        </w:rPr>
        <w:t>Series 11 Historic Property</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Series 12 Home Improvement</w:t>
      </w:r>
    </w:p>
    <w:p w:rsidR="00BF68CA" w:rsidRDefault="00BF68CA" w:rsidP="00120955">
      <w:pPr>
        <w:spacing w:after="0" w:line="240" w:lineRule="auto"/>
        <w:rPr>
          <w:rFonts w:ascii="Century Schoolbook" w:hAnsi="Century Schoolbook"/>
          <w:sz w:val="16"/>
          <w:szCs w:val="16"/>
        </w:rPr>
      </w:pPr>
    </w:p>
    <w:p w:rsidR="00411F6F" w:rsidRPr="003F0F7B" w:rsidRDefault="00BF68CA" w:rsidP="00120955">
      <w:pPr>
        <w:spacing w:after="0" w:line="240" w:lineRule="auto"/>
        <w:rPr>
          <w:rFonts w:ascii="Century Schoolbook" w:hAnsi="Century Schoolbook"/>
          <w:sz w:val="24"/>
          <w:szCs w:val="24"/>
        </w:rPr>
      </w:pPr>
      <w:r>
        <w:rPr>
          <w:rFonts w:ascii="Century Schoolbook" w:hAnsi="Century Schoolbook"/>
          <w:sz w:val="24"/>
          <w:szCs w:val="24"/>
        </w:rPr>
        <w:t>There are a total 37,341 property tax exemptions granted in the City of Buffalo. 58% of those exemptions are for households that qualify for the Basic STAR program, whi</w:t>
      </w:r>
      <w:r w:rsidR="00F565AF">
        <w:rPr>
          <w:rFonts w:ascii="Century Schoolbook" w:hAnsi="Century Schoolbook"/>
          <w:sz w:val="24"/>
          <w:szCs w:val="24"/>
        </w:rPr>
        <w:t>ch grants an exemption for home</w:t>
      </w:r>
      <w:r>
        <w:rPr>
          <w:rFonts w:ascii="Century Schoolbook" w:hAnsi="Century Schoolbook"/>
          <w:sz w:val="24"/>
          <w:szCs w:val="24"/>
        </w:rPr>
        <w:t>owners whose income is under $250,000 and a credit for those whose income is under $500,000. Between the Basic and Enhanc</w:t>
      </w:r>
      <w:r w:rsidR="00F565AF">
        <w:rPr>
          <w:rFonts w:ascii="Century Schoolbook" w:hAnsi="Century Schoolbook"/>
          <w:sz w:val="24"/>
          <w:szCs w:val="24"/>
        </w:rPr>
        <w:t>ed STAR programs, there are more than 28,000 properties which are eligible for</w:t>
      </w:r>
      <w:r>
        <w:rPr>
          <w:rFonts w:ascii="Century Schoolbook" w:hAnsi="Century Schoolbook"/>
          <w:sz w:val="24"/>
          <w:szCs w:val="24"/>
        </w:rPr>
        <w:t xml:space="preserve"> either an exemption or credit on their property taxes.</w:t>
      </w:r>
      <w:r>
        <w:rPr>
          <w:rFonts w:ascii="Century Schoolbook" w:hAnsi="Century Schoolbook"/>
          <w:sz w:val="16"/>
          <w:szCs w:val="16"/>
        </w:rPr>
        <w:t xml:space="preserve"> </w:t>
      </w:r>
    </w:p>
    <w:p w:rsidR="00B72E93" w:rsidRDefault="00B72E93" w:rsidP="00B72E93">
      <w:pPr>
        <w:spacing w:after="0" w:line="240" w:lineRule="auto"/>
        <w:jc w:val="center"/>
        <w:rPr>
          <w:rFonts w:ascii="Century Schoolbook" w:hAnsi="Century Schoolbook"/>
          <w:sz w:val="24"/>
          <w:szCs w:val="24"/>
        </w:rPr>
      </w:pPr>
    </w:p>
    <w:p w:rsidR="00CA568D" w:rsidRDefault="006A57FD" w:rsidP="00CA568D">
      <w:pPr>
        <w:spacing w:after="0" w:line="240" w:lineRule="auto"/>
        <w:rPr>
          <w:rFonts w:ascii="Century Schoolbook" w:hAnsi="Century Schoolbook"/>
          <w:sz w:val="24"/>
          <w:szCs w:val="24"/>
        </w:rPr>
      </w:pPr>
      <w:r>
        <w:rPr>
          <w:rFonts w:ascii="Century Schoolbook" w:hAnsi="Century Schoolbook"/>
          <w:sz w:val="24"/>
          <w:szCs w:val="24"/>
        </w:rPr>
        <w:t>According to the Buffalo Fiscal Stability Authority’s 2019 analysis on property tax exemptions the residential property taxes outlined above account for appro</w:t>
      </w:r>
      <w:r w:rsidR="007358B9">
        <w:rPr>
          <w:rFonts w:ascii="Century Schoolbook" w:hAnsi="Century Schoolbook"/>
          <w:sz w:val="24"/>
          <w:szCs w:val="24"/>
        </w:rPr>
        <w:t>ximately 14%</w:t>
      </w:r>
      <w:r w:rsidR="00FE67F6">
        <w:rPr>
          <w:rFonts w:ascii="Century Schoolbook" w:hAnsi="Century Schoolbook"/>
          <w:sz w:val="24"/>
          <w:szCs w:val="24"/>
        </w:rPr>
        <w:t xml:space="preserve"> (approximately $645 million)</w:t>
      </w:r>
      <w:r w:rsidR="007358B9">
        <w:rPr>
          <w:rFonts w:ascii="Century Schoolbook" w:hAnsi="Century Schoolbook"/>
          <w:sz w:val="24"/>
          <w:szCs w:val="24"/>
        </w:rPr>
        <w:t xml:space="preserve"> of the $4.6 billion</w:t>
      </w:r>
      <w:r w:rsidR="00F565AF">
        <w:rPr>
          <w:rFonts w:ascii="Century Schoolbook" w:hAnsi="Century Schoolbook"/>
          <w:sz w:val="24"/>
          <w:szCs w:val="24"/>
        </w:rPr>
        <w:t xml:space="preserve"> in</w:t>
      </w:r>
      <w:r>
        <w:rPr>
          <w:rFonts w:ascii="Century Schoolbook" w:hAnsi="Century Schoolbook"/>
          <w:sz w:val="24"/>
          <w:szCs w:val="24"/>
        </w:rPr>
        <w:t xml:space="preserve"> property tax exemptions </w:t>
      </w:r>
      <w:r w:rsidR="00F565AF">
        <w:rPr>
          <w:rFonts w:ascii="Century Schoolbook" w:hAnsi="Century Schoolbook"/>
          <w:sz w:val="24"/>
          <w:szCs w:val="24"/>
        </w:rPr>
        <w:t xml:space="preserve">granted </w:t>
      </w:r>
      <w:r>
        <w:rPr>
          <w:rFonts w:ascii="Century Schoolbook" w:hAnsi="Century Schoolbook"/>
          <w:sz w:val="24"/>
          <w:szCs w:val="24"/>
        </w:rPr>
        <w:t>in the City of Buffalo. The largest categories of property tax exemptions are for Governmental purposes (approximately 35%) and Non-Profit/Charitable organizations (approximately 23%). Economic Development exemptions account for approximately 15.5% of the total amount of tax exemptions in the City.</w:t>
      </w:r>
    </w:p>
    <w:p w:rsidR="00B32979" w:rsidRDefault="00B32979" w:rsidP="00CA568D">
      <w:pPr>
        <w:spacing w:after="0" w:line="240" w:lineRule="auto"/>
        <w:rPr>
          <w:rFonts w:ascii="Century Schoolbook" w:hAnsi="Century Schoolbook"/>
          <w:sz w:val="24"/>
          <w:szCs w:val="24"/>
        </w:rPr>
      </w:pPr>
    </w:p>
    <w:p w:rsidR="00B32979" w:rsidRDefault="00133307" w:rsidP="00B32979">
      <w:pPr>
        <w:spacing w:after="0" w:line="240" w:lineRule="auto"/>
        <w:jc w:val="center"/>
        <w:rPr>
          <w:rFonts w:ascii="Century Schoolbook" w:hAnsi="Century Schoolbook"/>
          <w:sz w:val="24"/>
          <w:szCs w:val="24"/>
        </w:rPr>
      </w:pPr>
      <w:r>
        <w:rPr>
          <w:noProof/>
        </w:rPr>
        <w:drawing>
          <wp:inline distT="0" distB="0" distL="0" distR="0" wp14:anchorId="081BFAC5" wp14:editId="47988B5C">
            <wp:extent cx="4133850" cy="2552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2979" w:rsidRDefault="00B32979" w:rsidP="00B32979">
      <w:pPr>
        <w:spacing w:after="0" w:line="240" w:lineRule="auto"/>
        <w:rPr>
          <w:rFonts w:ascii="Century Schoolbook" w:hAnsi="Century Schoolbook"/>
          <w:sz w:val="16"/>
          <w:szCs w:val="16"/>
        </w:rPr>
      </w:pPr>
      <w:r>
        <w:rPr>
          <w:rFonts w:ascii="Century Schoolbook" w:hAnsi="Century Schoolbook"/>
          <w:sz w:val="16"/>
          <w:szCs w:val="16"/>
        </w:rPr>
        <w:t>Series 1 Governmental Property</w:t>
      </w:r>
    </w:p>
    <w:p w:rsidR="00B32979" w:rsidRDefault="00B32979" w:rsidP="00B32979">
      <w:pPr>
        <w:spacing w:after="0" w:line="240" w:lineRule="auto"/>
        <w:rPr>
          <w:rFonts w:ascii="Century Schoolbook" w:hAnsi="Century Schoolbook"/>
          <w:sz w:val="16"/>
          <w:szCs w:val="16"/>
        </w:rPr>
      </w:pPr>
      <w:r>
        <w:rPr>
          <w:rFonts w:ascii="Century Schoolbook" w:hAnsi="Century Schoolbook"/>
          <w:sz w:val="16"/>
          <w:szCs w:val="16"/>
        </w:rPr>
        <w:t>Series 2 Non-Profit/Charitable</w:t>
      </w:r>
    </w:p>
    <w:p w:rsidR="00B32979" w:rsidRDefault="00B32979" w:rsidP="00B32979">
      <w:pPr>
        <w:spacing w:after="0" w:line="240" w:lineRule="auto"/>
        <w:rPr>
          <w:rFonts w:ascii="Century Schoolbook" w:hAnsi="Century Schoolbook"/>
          <w:sz w:val="16"/>
          <w:szCs w:val="16"/>
        </w:rPr>
      </w:pPr>
      <w:r>
        <w:rPr>
          <w:rFonts w:ascii="Century Schoolbook" w:hAnsi="Century Schoolbook"/>
          <w:sz w:val="16"/>
          <w:szCs w:val="16"/>
        </w:rPr>
        <w:t>Series 3 Residential</w:t>
      </w:r>
    </w:p>
    <w:p w:rsidR="00B32979" w:rsidRDefault="00B32979" w:rsidP="00B32979">
      <w:pPr>
        <w:spacing w:after="0" w:line="240" w:lineRule="auto"/>
        <w:rPr>
          <w:rFonts w:ascii="Century Schoolbook" w:hAnsi="Century Schoolbook"/>
          <w:sz w:val="16"/>
          <w:szCs w:val="16"/>
        </w:rPr>
      </w:pPr>
      <w:r>
        <w:rPr>
          <w:rFonts w:ascii="Century Schoolbook" w:hAnsi="Century Schoolbook"/>
          <w:sz w:val="16"/>
          <w:szCs w:val="16"/>
        </w:rPr>
        <w:t>Series 4 Economic Development</w:t>
      </w:r>
    </w:p>
    <w:p w:rsidR="00B32979" w:rsidRPr="00B32979" w:rsidRDefault="00B32979" w:rsidP="00B32979">
      <w:pPr>
        <w:spacing w:after="0" w:line="240" w:lineRule="auto"/>
        <w:rPr>
          <w:rFonts w:ascii="Century Schoolbook" w:hAnsi="Century Schoolbook"/>
          <w:sz w:val="16"/>
          <w:szCs w:val="16"/>
        </w:rPr>
      </w:pPr>
      <w:r>
        <w:rPr>
          <w:rFonts w:ascii="Century Schoolbook" w:hAnsi="Century Schoolbook"/>
          <w:sz w:val="16"/>
          <w:szCs w:val="16"/>
        </w:rPr>
        <w:t>Series 5 Other</w:t>
      </w:r>
    </w:p>
    <w:p w:rsidR="006A57FD" w:rsidRDefault="006A57FD" w:rsidP="00CA568D">
      <w:pPr>
        <w:spacing w:after="0" w:line="240" w:lineRule="auto"/>
        <w:rPr>
          <w:rFonts w:ascii="Century Schoolbook" w:hAnsi="Century Schoolbook"/>
          <w:sz w:val="24"/>
          <w:szCs w:val="24"/>
        </w:rPr>
      </w:pPr>
    </w:p>
    <w:p w:rsidR="0082769A" w:rsidRDefault="00F565AF" w:rsidP="00CA568D">
      <w:pPr>
        <w:spacing w:after="0" w:line="240" w:lineRule="auto"/>
        <w:rPr>
          <w:rFonts w:ascii="Century Schoolbook" w:hAnsi="Century Schoolbook"/>
          <w:sz w:val="24"/>
          <w:szCs w:val="24"/>
        </w:rPr>
      </w:pPr>
      <w:r>
        <w:rPr>
          <w:rFonts w:ascii="Century Schoolbook" w:hAnsi="Century Schoolbook"/>
          <w:sz w:val="24"/>
          <w:szCs w:val="24"/>
        </w:rPr>
        <w:t>T</w:t>
      </w:r>
      <w:r w:rsidR="00B32979">
        <w:rPr>
          <w:rFonts w:ascii="Century Schoolbook" w:hAnsi="Century Schoolbook"/>
          <w:sz w:val="24"/>
          <w:szCs w:val="24"/>
        </w:rPr>
        <w:t>he</w:t>
      </w:r>
      <w:r>
        <w:rPr>
          <w:rFonts w:ascii="Century Schoolbook" w:hAnsi="Century Schoolbook"/>
          <w:sz w:val="24"/>
          <w:szCs w:val="24"/>
        </w:rPr>
        <w:t xml:space="preserve"> total number </w:t>
      </w:r>
      <w:r w:rsidR="00B32979">
        <w:rPr>
          <w:rFonts w:ascii="Century Schoolbook" w:hAnsi="Century Schoolbook"/>
          <w:sz w:val="24"/>
          <w:szCs w:val="24"/>
        </w:rPr>
        <w:t>of exemptions for economic develop</w:t>
      </w:r>
      <w:r>
        <w:rPr>
          <w:rFonts w:ascii="Century Schoolbook" w:hAnsi="Century Schoolbook"/>
          <w:sz w:val="24"/>
          <w:szCs w:val="24"/>
        </w:rPr>
        <w:t>ment purposes have declined by more than</w:t>
      </w:r>
      <w:r w:rsidR="00B32979">
        <w:rPr>
          <w:rFonts w:ascii="Century Schoolbook" w:hAnsi="Century Schoolbook"/>
          <w:sz w:val="24"/>
          <w:szCs w:val="24"/>
        </w:rPr>
        <w:t xml:space="preserve"> $45 million (approximately 6%) from 2010 to the present. </w:t>
      </w:r>
      <w:r>
        <w:rPr>
          <w:rFonts w:ascii="Century Schoolbook" w:hAnsi="Century Schoolbook"/>
          <w:sz w:val="24"/>
          <w:szCs w:val="24"/>
        </w:rPr>
        <w:t>Within the</w:t>
      </w:r>
      <w:r w:rsidR="007358B9">
        <w:rPr>
          <w:rFonts w:ascii="Century Schoolbook" w:hAnsi="Century Schoolbook"/>
          <w:sz w:val="24"/>
          <w:szCs w:val="24"/>
        </w:rPr>
        <w:t xml:space="preserve"> economic d</w:t>
      </w:r>
      <w:r>
        <w:rPr>
          <w:rFonts w:ascii="Century Schoolbook" w:hAnsi="Century Schoolbook"/>
          <w:sz w:val="24"/>
          <w:szCs w:val="24"/>
        </w:rPr>
        <w:t>evelopment exemptions granted are</w:t>
      </w:r>
      <w:r w:rsidR="007358B9">
        <w:rPr>
          <w:rFonts w:ascii="Century Schoolbook" w:hAnsi="Century Schoolbook"/>
          <w:sz w:val="24"/>
          <w:szCs w:val="24"/>
        </w:rPr>
        <w:t xml:space="preserve"> the 485-a program, </w:t>
      </w:r>
      <w:r>
        <w:rPr>
          <w:rFonts w:ascii="Century Schoolbook" w:hAnsi="Century Schoolbook"/>
          <w:sz w:val="24"/>
          <w:szCs w:val="24"/>
        </w:rPr>
        <w:t xml:space="preserve">which </w:t>
      </w:r>
      <w:r w:rsidR="00FE67F6">
        <w:rPr>
          <w:rFonts w:ascii="Century Schoolbook" w:hAnsi="Century Schoolbook"/>
          <w:sz w:val="24"/>
          <w:szCs w:val="24"/>
        </w:rPr>
        <w:t>account for $227 million of the total amount of economic devel</w:t>
      </w:r>
      <w:r>
        <w:rPr>
          <w:rFonts w:ascii="Century Schoolbook" w:hAnsi="Century Schoolbook"/>
          <w:sz w:val="24"/>
          <w:szCs w:val="24"/>
        </w:rPr>
        <w:t>opment exemptions. The majority of those</w:t>
      </w:r>
      <w:r w:rsidR="00FE67F6">
        <w:rPr>
          <w:rFonts w:ascii="Century Schoolbook" w:hAnsi="Century Schoolbook"/>
          <w:sz w:val="24"/>
          <w:szCs w:val="24"/>
        </w:rPr>
        <w:t xml:space="preserve"> exemptions will expire between 2024 and 2029.</w:t>
      </w:r>
    </w:p>
    <w:p w:rsidR="0082769A" w:rsidRDefault="0082769A" w:rsidP="00CA568D">
      <w:pPr>
        <w:spacing w:after="0" w:line="240" w:lineRule="auto"/>
        <w:rPr>
          <w:rFonts w:ascii="Century Schoolbook" w:hAnsi="Century Schoolbook"/>
          <w:sz w:val="24"/>
          <w:szCs w:val="24"/>
        </w:rPr>
      </w:pPr>
    </w:p>
    <w:p w:rsidR="00B32979" w:rsidRDefault="00973DC1" w:rsidP="0082769A">
      <w:pPr>
        <w:spacing w:after="0" w:line="240" w:lineRule="auto"/>
        <w:jc w:val="center"/>
        <w:rPr>
          <w:rFonts w:ascii="Century Schoolbook" w:hAnsi="Century Schoolbook"/>
          <w:sz w:val="24"/>
          <w:szCs w:val="24"/>
        </w:rPr>
      </w:pPr>
      <w:r>
        <w:rPr>
          <w:noProof/>
        </w:rPr>
        <w:drawing>
          <wp:inline distT="0" distB="0" distL="0" distR="0" wp14:anchorId="7CCCB227" wp14:editId="23B88FC8">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69A" w:rsidRDefault="0082769A" w:rsidP="0082769A">
      <w:pPr>
        <w:spacing w:after="0" w:line="240" w:lineRule="auto"/>
        <w:jc w:val="center"/>
        <w:rPr>
          <w:rFonts w:ascii="Century Schoolbook" w:hAnsi="Century Schoolbook"/>
          <w:sz w:val="16"/>
          <w:szCs w:val="16"/>
        </w:rPr>
      </w:pPr>
    </w:p>
    <w:p w:rsidR="0082769A" w:rsidRDefault="0082769A" w:rsidP="0082769A">
      <w:pPr>
        <w:spacing w:after="0" w:line="240" w:lineRule="auto"/>
        <w:rPr>
          <w:rFonts w:ascii="Century Schoolbook" w:hAnsi="Century Schoolbook"/>
          <w:sz w:val="16"/>
          <w:szCs w:val="16"/>
        </w:rPr>
      </w:pPr>
      <w:r>
        <w:rPr>
          <w:rFonts w:ascii="Century Schoolbook" w:hAnsi="Century Schoolbook"/>
          <w:sz w:val="16"/>
          <w:szCs w:val="16"/>
        </w:rPr>
        <w:t>Series 1 Residential Exemptions</w:t>
      </w:r>
    </w:p>
    <w:p w:rsidR="006A57FD" w:rsidRPr="00553A51" w:rsidRDefault="0082769A" w:rsidP="00CA568D">
      <w:pPr>
        <w:spacing w:after="0" w:line="240" w:lineRule="auto"/>
        <w:rPr>
          <w:rFonts w:ascii="Century Schoolbook" w:hAnsi="Century Schoolbook"/>
          <w:sz w:val="16"/>
          <w:szCs w:val="16"/>
        </w:rPr>
      </w:pPr>
      <w:r>
        <w:rPr>
          <w:rFonts w:ascii="Century Schoolbook" w:hAnsi="Century Schoolbook"/>
          <w:sz w:val="16"/>
          <w:szCs w:val="16"/>
        </w:rPr>
        <w:t>Series 2 485-a Exemptions</w:t>
      </w:r>
    </w:p>
    <w:sectPr w:rsidR="006A57FD" w:rsidRPr="0055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24"/>
    <w:multiLevelType w:val="hybridMultilevel"/>
    <w:tmpl w:val="6448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530B"/>
    <w:multiLevelType w:val="hybridMultilevel"/>
    <w:tmpl w:val="49B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8A"/>
    <w:rsid w:val="000B0380"/>
    <w:rsid w:val="00120955"/>
    <w:rsid w:val="00133307"/>
    <w:rsid w:val="001519C4"/>
    <w:rsid w:val="001B3DC9"/>
    <w:rsid w:val="001E210E"/>
    <w:rsid w:val="001F5715"/>
    <w:rsid w:val="00235767"/>
    <w:rsid w:val="00285171"/>
    <w:rsid w:val="003023AD"/>
    <w:rsid w:val="0037618A"/>
    <w:rsid w:val="0038399C"/>
    <w:rsid w:val="003B1798"/>
    <w:rsid w:val="003D30E2"/>
    <w:rsid w:val="003E1B7F"/>
    <w:rsid w:val="003F0F7B"/>
    <w:rsid w:val="00410668"/>
    <w:rsid w:val="00411F6F"/>
    <w:rsid w:val="004524EC"/>
    <w:rsid w:val="004836D8"/>
    <w:rsid w:val="005445DC"/>
    <w:rsid w:val="00553A51"/>
    <w:rsid w:val="00581D69"/>
    <w:rsid w:val="0061202D"/>
    <w:rsid w:val="006A57FD"/>
    <w:rsid w:val="007358B9"/>
    <w:rsid w:val="007752D4"/>
    <w:rsid w:val="00777F06"/>
    <w:rsid w:val="00790E71"/>
    <w:rsid w:val="00812735"/>
    <w:rsid w:val="0082769A"/>
    <w:rsid w:val="0089260A"/>
    <w:rsid w:val="00930F95"/>
    <w:rsid w:val="009338FD"/>
    <w:rsid w:val="00973DC1"/>
    <w:rsid w:val="00980619"/>
    <w:rsid w:val="00A0585F"/>
    <w:rsid w:val="00A71CEC"/>
    <w:rsid w:val="00A83B3B"/>
    <w:rsid w:val="00B32979"/>
    <w:rsid w:val="00B72E93"/>
    <w:rsid w:val="00B813CA"/>
    <w:rsid w:val="00BB0080"/>
    <w:rsid w:val="00BF68CA"/>
    <w:rsid w:val="00C46B1C"/>
    <w:rsid w:val="00C95EED"/>
    <w:rsid w:val="00CA568D"/>
    <w:rsid w:val="00CE3983"/>
    <w:rsid w:val="00D5736A"/>
    <w:rsid w:val="00D9579D"/>
    <w:rsid w:val="00DF28F7"/>
    <w:rsid w:val="00E10E48"/>
    <w:rsid w:val="00ED0252"/>
    <w:rsid w:val="00F127C5"/>
    <w:rsid w:val="00F565AF"/>
    <w:rsid w:val="00FC07D5"/>
    <w:rsid w:val="00FC28A5"/>
    <w:rsid w:val="00FE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2E83"/>
  <w15:chartTrackingRefBased/>
  <w15:docId w15:val="{DE3368C9-F2A2-4551-B869-CA85F8D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8A"/>
    <w:pPr>
      <w:ind w:left="720"/>
      <w:contextualSpacing/>
    </w:pPr>
  </w:style>
  <w:style w:type="paragraph" w:styleId="BalloonText">
    <w:name w:val="Balloon Text"/>
    <w:basedOn w:val="Normal"/>
    <w:link w:val="BalloonTextChar"/>
    <w:uiPriority w:val="99"/>
    <w:semiHidden/>
    <w:unhideWhenUsed/>
    <w:rsid w:val="0045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a:t>
            </a:r>
            <a:r>
              <a:rPr lang="en-US" baseline="0"/>
              <a:t> Increase Percentage in Home Prices 2010-Present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19050" cap="rnd">
              <a:solidFill>
                <a:schemeClr val="accent1"/>
              </a:solidFill>
              <a:round/>
            </a:ln>
            <a:effectLst/>
          </c:spPr>
          <c:marker>
            <c:symbol val="none"/>
          </c:marker>
          <c:cat>
            <c:numRef>
              <c:f>Sheet3!$A$2:$A$11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Sheet3!$B$2:$B$11</c:f>
              <c:numCache>
                <c:formatCode>General</c:formatCode>
                <c:ptCount val="10"/>
                <c:pt idx="0">
                  <c:v>6</c:v>
                </c:pt>
                <c:pt idx="1">
                  <c:v>3.9</c:v>
                </c:pt>
                <c:pt idx="2">
                  <c:v>0.1</c:v>
                </c:pt>
                <c:pt idx="3">
                  <c:v>5.2</c:v>
                </c:pt>
                <c:pt idx="4">
                  <c:v>-0.3</c:v>
                </c:pt>
                <c:pt idx="5">
                  <c:v>1.7</c:v>
                </c:pt>
                <c:pt idx="6">
                  <c:v>2</c:v>
                </c:pt>
                <c:pt idx="7">
                  <c:v>5.0999999999999996</c:v>
                </c:pt>
                <c:pt idx="8">
                  <c:v>8.8000000000000007</c:v>
                </c:pt>
                <c:pt idx="9">
                  <c:v>5.9</c:v>
                </c:pt>
              </c:numCache>
            </c:numRef>
          </c:val>
          <c:smooth val="0"/>
          <c:extLst>
            <c:ext xmlns:c16="http://schemas.microsoft.com/office/drawing/2014/chart" uri="{C3380CC4-5D6E-409C-BE32-E72D297353CC}">
              <c16:uniqueId val="{00000000-CCDD-4F41-A045-E513F85D4829}"/>
            </c:ext>
          </c:extLst>
        </c:ser>
        <c:dLbls>
          <c:showLegendKey val="0"/>
          <c:showVal val="0"/>
          <c:showCatName val="0"/>
          <c:showSerName val="0"/>
          <c:showPercent val="0"/>
          <c:showBubbleSize val="0"/>
        </c:dLbls>
        <c:smooth val="0"/>
        <c:axId val="375129584"/>
        <c:axId val="375130000"/>
      </c:lineChart>
      <c:catAx>
        <c:axId val="37512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130000"/>
        <c:crosses val="autoZero"/>
        <c:auto val="1"/>
        <c:lblAlgn val="ctr"/>
        <c:lblOffset val="100"/>
        <c:noMultiLvlLbl val="0"/>
      </c:catAx>
      <c:valAx>
        <c:axId val="37513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12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Amount</a:t>
            </a:r>
            <a:r>
              <a:rPr lang="en-US" baseline="0"/>
              <a:t> (in billions) in Property Tax Exemptions by Type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D1C-44AB-A211-62E0016949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D1C-44AB-A211-62E0016949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D1C-44AB-A211-62E0016949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D1C-44AB-A211-62E0016949B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D1C-44AB-A211-62E0016949B1}"/>
              </c:ext>
            </c:extLst>
          </c:dPt>
          <c:val>
            <c:numRef>
              <c:f>Sheet3!$A$1:$A$5</c:f>
              <c:numCache>
                <c:formatCode>General</c:formatCode>
                <c:ptCount val="5"/>
                <c:pt idx="0">
                  <c:v>1.8</c:v>
                </c:pt>
                <c:pt idx="1">
                  <c:v>1.2</c:v>
                </c:pt>
                <c:pt idx="2">
                  <c:v>0.7</c:v>
                </c:pt>
                <c:pt idx="3">
                  <c:v>0.7</c:v>
                </c:pt>
                <c:pt idx="4">
                  <c:v>0.2</c:v>
                </c:pt>
              </c:numCache>
            </c:numRef>
          </c:val>
          <c:extLst>
            <c:ext xmlns:c16="http://schemas.microsoft.com/office/drawing/2014/chart" uri="{C3380CC4-5D6E-409C-BE32-E72D297353CC}">
              <c16:uniqueId val="{0000000A-2D1C-44AB-A211-62E0016949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Residential</a:t>
            </a:r>
            <a:r>
              <a:rPr lang="en-US" baseline="0"/>
              <a:t> Exemptions Compared to 485-a Exemptions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Sheet4!$A$1:$A$2</c:f>
              <c:numCache>
                <c:formatCode>General</c:formatCode>
                <c:ptCount val="2"/>
                <c:pt idx="0">
                  <c:v>645</c:v>
                </c:pt>
                <c:pt idx="1">
                  <c:v>227</c:v>
                </c:pt>
              </c:numCache>
            </c:numRef>
          </c:val>
          <c:extLst>
            <c:ext xmlns:c16="http://schemas.microsoft.com/office/drawing/2014/chart" uri="{C3380CC4-5D6E-409C-BE32-E72D297353CC}">
              <c16:uniqueId val="{00000000-E5F6-46E4-94B7-D0A313269A5F}"/>
            </c:ext>
          </c:extLst>
        </c:ser>
        <c:dLbls>
          <c:showLegendKey val="0"/>
          <c:showVal val="0"/>
          <c:showCatName val="0"/>
          <c:showSerName val="0"/>
          <c:showPercent val="0"/>
          <c:showBubbleSize val="0"/>
        </c:dLbls>
        <c:gapWidth val="219"/>
        <c:overlap val="-27"/>
        <c:axId val="337296544"/>
        <c:axId val="183592400"/>
      </c:barChart>
      <c:catAx>
        <c:axId val="33729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92400"/>
        <c:crosses val="autoZero"/>
        <c:auto val="1"/>
        <c:lblAlgn val="ctr"/>
        <c:lblOffset val="100"/>
        <c:noMultiLvlLbl val="0"/>
      </c:catAx>
      <c:valAx>
        <c:axId val="18359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29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10C5-DCA3-4E01-B8FC-391C9382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Mayer,Robert M.</dc:creator>
  <cp:keywords/>
  <dc:description/>
  <cp:lastModifiedBy>Mayer,Robert M.</cp:lastModifiedBy>
  <cp:revision>32</cp:revision>
  <cp:lastPrinted>2019-10-03T17:00:00Z</cp:lastPrinted>
  <dcterms:created xsi:type="dcterms:W3CDTF">2019-09-19T18:12:00Z</dcterms:created>
  <dcterms:modified xsi:type="dcterms:W3CDTF">2019-10-03T17:05:00Z</dcterms:modified>
</cp:coreProperties>
</file>